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StromVKG — Anforderungen an die Produktherkunft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Bei einem Gebot in den Ausschreibungen für Langzeitkapazitäten hat der Bieter zu gewährleisten, dass, wenn die gebotsgegenständliche Anlage ein Endprodukt nach Anlage 2 ist, die wichtigsten spezifischen Bauteile, wie in Anlage 2 vorgegeben, in der Europäischen Union oder in einem Drittstaat gefertigt werden, mit dem die Europäische Union ein Freihandelsabkommen abgeschlossen hat oder eine Zollunion bildet.</w:t>
      </w:r>
    </w:p>
    <w:p>
      <w:r>
        <w:t xml:space="preserve">(2) Die Einhaltung der Anforderung nach Absatz 1 ist durch einen Herkunftsnachweis nach der Verordnung (EU) Nr. 952/2013 oder durch einen vergleichbaren Nachweis bei Abschluss der vorläufigen Präqualifizierung nach Abschnitt 8 durch den Bieter zu erbringen.</w:t>
      </w:r>
    </w:p>
    <w:p>
      <w:r>
        <w:rPr>
          <w:color w:val="555555"/>
          <w:sz w:val="17"/>
        </w:rPr>
        <w:t xml:space="preserve">Zitiervorschlag: § 15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