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StromVKG — Mindestinvestitionsschwellen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Im Fall eines Verpflichtungszeitraums von 7 oder 15 Jahren hat der Bieter nach erteiltem Zuschlag bis zum Abschluss der vorläufigen Präqualifizierung nach Abschnitt 8 folgende Mindestinvestition in die gebotsgegenständliche Anlage zu tätigen:</w:t>
      </w:r>
    </w:p>
    <w:p>
      <w:pPr>
        <w:ind w:left="420"/>
      </w:pPr>
      <w:r>
        <w:t xml:space="preserve">1. bei einem Verpflichtungszeitraum von 7 Jahren 201 000 Euro je reduzierte Leistung in Megawatt und</w:t>
      </w:r>
    </w:p>
    <w:p>
      <w:pPr>
        <w:ind w:left="420"/>
      </w:pPr>
      <w:r>
        <w:t xml:space="preserve">2. bei einem Verpflichtungszeitraum von 15 Jahren 431 000 Euro je reduzierte Leistung in Megawatt.</w:t>
      </w:r>
    </w:p>
    <w:p>
      <w:r>
        <w:t xml:space="preserve">(2) Die Anrechenbarkeit von Investitionen auf das Erreichen der in Absatz 1 genannten Mindestinvestitionsschwellen richtet sich nach Absatz 3 und Anlage 5.</w:t>
      </w:r>
    </w:p>
    <w:p>
      <w:r>
        <w:t xml:space="preserve">(3) Anrechenbar sind nur solche Investitionen, die nach dem erteilten Zuschlag und bis zum Abschluss der vorläufigen Präqualifizierung nach Abschnitt 8 getätigt werden. Abweichend von Satz 1 sind bei bezuschlagten Geboten in Ausschreibungen für Langzeitkapazitäten auch Investitionen in die gebotsgegenständliche Anlage, die in den letzten 12 Monaten vor Erteilung des Zuschlags getätigt wurden, anrechenbar.</w:t>
      </w:r>
    </w:p>
    <w:p>
      <w:r>
        <w:t xml:space="preserve">(4) Absatz 1 ist bei einem Gebot für einen Anlagenpool für jede Einzelanlage des Anlagenpools anzuwenden.</w:t>
      </w:r>
    </w:p>
    <w:p>
      <w:r>
        <w:rPr>
          <w:color w:val="555555"/>
          <w:sz w:val="17"/>
        </w:rPr>
        <w:t xml:space="preserve">Zitiervorschlag: § 14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