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StromVKG — Ausschreibungen für Langzeitkapazitäten und Ausschreibungen für Erzeugungskapazitäten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Bei den Ausschreibungen für Langzeitkapazitäten und bei der Ausschreibung für Erzeugungskapazitäten sind nur Gebote für Erzeugungsanlagen zulässig.</w:t>
      </w:r>
    </w:p>
    <w:p>
      <w:r>
        <w:t xml:space="preserve">(2) In den Ausschreibungen kann nur auf einen Verpflichtungszeitraum von 15 Jahren geboten werden.</w:t>
      </w:r>
    </w:p>
    <w:p>
      <w:r>
        <w:t xml:space="preserve">(3) In den Ausschreibungen sind nur Gebote für Erzeugungsanlagen an einem Standort zulässig,</w:t>
      </w:r>
    </w:p>
    <w:p>
      <w:pPr>
        <w:ind w:left="420"/>
      </w:pPr>
      <w:r>
        <w:t xml:space="preserve">1. an dem zum Stichtag 30. Juni 2026 keine Erzeugungsanlage betrieben wurde oder</w:t>
      </w:r>
    </w:p>
    <w:p>
      <w:pPr>
        <w:ind w:left="420"/>
      </w:pPr>
      <w:r>
        <w:t xml:space="preserve">2. an dem zum jeweiligen Gebotstermin ausschließlich eine oder mehrere Erzeugungsanlagen betrieben werden, die jeweils eine der folgenden Voraussetzungen erfüllen:</w:t>
      </w:r>
    </w:p>
    <w:p>
      <w:pPr>
        <w:ind w:left="780"/>
      </w:pPr>
      <w:r>
        <w:t xml:space="preserve">a) in der Erzeugungsanlage wurden in den letzten 5 Jahren vor dem jeweiligen Gebotstermin keine gasförmigen Brennstoffe als Hauptenergieträger zur Stromerzeugung eingesetzt,</w:t>
      </w:r>
    </w:p>
    <w:p>
      <w:pPr>
        <w:ind w:left="780"/>
      </w:pPr>
      <w:r>
        <w:t xml:space="preserve">b) für die Erzeugungsanlage wurde die endgültige Stilllegung nach § 13b Absatz 1 Satz 1 des Energiewirtschaftsgesetzes angezeigt und sie war in den letzten 5 Jahren vor dem jeweiligen Gebotstermin wenigstens zeitweise als systemrelevant nach § 13b des Energiewirtschaftsgesetzes ausgewiesen,</w:t>
      </w:r>
    </w:p>
    <w:p>
      <w:pPr>
        <w:ind w:left="780"/>
      </w:pPr>
      <w:r>
        <w:t xml:space="preserve">c) die Erzeugungsanlage wurde am 22. Juli 2026 nach § 13e des Energiewirtschaftsgesetzes als Kapazitätsreserveanlage vorgehalten oder</w:t>
      </w:r>
    </w:p>
    <w:p>
      <w:pPr>
        <w:ind w:left="780"/>
      </w:pPr>
      <w:r>
        <w:t xml:space="preserve">d) in der Erzeugungsanlage, die die Voraussetzungen der Buchstaben b oder c nicht erfüllt, wurden in den letzten 5 Jahren vor dem jeweiligen Gebotstermin gasförmige Brennstoffe als Hauptenergieträger zur Stromerzeugung eingesetzt und</w:t>
      </w:r>
    </w:p>
    <w:p>
      <w:pPr>
        <w:ind w:left="1140"/>
      </w:pPr>
      <w:r>
        <w:t xml:space="preserve">aa) die Erzeugungsanlage kann nach Errichtung der gebotsgegenständlichen Anlage zum Zeitpunkt des Abschlusses der vorläufigen Präqualifizierung nach Abschnitt 8 zeitgleich in Volllast mit der gebotsgegenständlichen Anlage weiterbetrieben werden und dabei können beide Anlagen den von ihnen erzeugten elektrischen Strom vollständig zeitgleich in das Netz der allgemeinen Versorgung einspeisen oder</w:t>
      </w:r>
    </w:p>
    <w:p>
      <w:pPr>
        <w:ind w:left="1140"/>
      </w:pPr>
      <w:r>
        <w:t xml:space="preserve">bb) die installierte Leistung der Erzeugungsanlage wird zum Zeitpunkt des Abschlusses der vorläufigen Präqualifizierung nach Abschnitt 8 gegenüber dem Stand des 31. Dezember 2025 im Umfang der gebotenen nominalen Leistung erweitert.</w:t>
      </w:r>
    </w:p>
    <w:p>
      <w:r>
        <w:t xml:space="preserve">(4) In den Ausschreibungen sind Gebote für Anlagenpools nur zulässig, wenn sämtliche Anlagen des Anlagenpools Erzeugungsanlagen sind und derselben Technologieklasse nach Anlage 3 bei Ausschreibungen für Erzeugungskapazitäten und nach Anlage 4 bei Ausschreibungen für Langzeitkapazitäten angehören. Kleinanlagenpools können an den Ausschreibungen für Langzeitkapazitäten und Erzeugungskapazitäten nicht teilnehmen.</w:t>
      </w:r>
    </w:p>
    <w:p>
      <w:r>
        <w:t xml:space="preserve">(5) An den Ausschreibungen für Langzeitkapazitäten sind nur Gebote für Erzeugungsanlagen zulässig, die technisch in der Lage sind, ohne Unterbrechung für mindestens 10 aufeinanderfolgende Stunden Strom in Höhe von 80 Prozent der installierten Leistung in das Netz der allgemeinen Versorgung einzuspeisen. Gebote für Anlagen energiebegrenzter Technologieklassen sind nur zulässig, wenn die Anforderung nach Satz 1 jederzeit spätestens nach 3 Stunden erfüllt werden kann.</w:t>
      </w:r>
    </w:p>
    <w:p>
      <w:r>
        <w:t xml:space="preserve">(6) Bei Geboten für einen Anlagenpool sind die Anforderungen nach Absatz 5 durch den Anlagenpool zu erfüllen.</w:t>
      </w:r>
    </w:p>
    <w:p>
      <w:r>
        <w:rPr>
          <w:color w:val="555555"/>
          <w:sz w:val="17"/>
        </w:rPr>
        <w:t xml:space="preserve">Zitiervorschlag: § 12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