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StromVKG — Ausschluss der Doppelförderung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Für die Anlage darf für den Verpflichtungszeitraum</w:t>
      </w:r>
    </w:p>
    <w:p>
      <w:pPr>
        <w:ind w:left="420"/>
      </w:pPr>
      <w:r>
        <w:t xml:space="preserve">1. kein wirksamer Zuschlag nach diesem Gesetz bestehen und</w:t>
      </w:r>
    </w:p>
    <w:p>
      <w:pPr>
        <w:ind w:left="420"/>
      </w:pPr>
      <w:r>
        <w:t xml:space="preserve">2. keine Förderung zusätzlich zu einer Zahlung nach diesem Gesetz in Anspruch genommen werden</w:t>
      </w:r>
    </w:p>
    <w:p>
      <w:pPr>
        <w:ind w:left="780"/>
      </w:pPr>
      <w:r>
        <w:t xml:space="preserve">a) nach dem Erneuerbare-Energien-Gesetz oder einer aufgrund des Erneuerbare-Energien-Gesetzes erlassenen Rechtsverordnung,</w:t>
      </w:r>
    </w:p>
    <w:p>
      <w:pPr>
        <w:ind w:left="780"/>
      </w:pPr>
      <w:r>
        <w:t xml:space="preserve">b) nach dem Kraft-Wärme-Kopplungsgesetz oder einer aufgrund des Kraft-Wärme-Kopplungsgesetzes erlassenen Rechtsverordnung oder</w:t>
      </w:r>
    </w:p>
    <w:p>
      <w:pPr>
        <w:ind w:left="780"/>
      </w:pPr>
      <w:r>
        <w:t xml:space="preserve">c) soweit dieselben förderfähigen Kosten wie die nach diesem Gesetz betroffen sind.</w:t>
      </w:r>
    </w:p>
    <w:p>
      <w:r>
        <w:t xml:space="preserve">Davon unberührt bleibt das Recht eines Bieters, mit der Anlage an einem Kapazitätsmechanismus eines anderen Mitgliedstaats der Europäischen Union teilzunehmen.</w:t>
      </w:r>
    </w:p>
    <w:p>
      <w:r>
        <w:t xml:space="preserve">(2) Bei einem Gebot für einen Anlagenpool ist Absatz 1 entsprechend für jede Einzelanlage des Anlagenpools anzuwenden.</w:t>
      </w:r>
    </w:p>
    <w:p>
      <w:r>
        <w:rPr>
          <w:color w:val="555555"/>
          <w:sz w:val="17"/>
        </w:rPr>
        <w:t xml:space="preserve">Zitiervorschlag: § 11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