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StromStV — Pflichten des Versorgers, Eigenerzeugers oder erlaubnispflichtigen Letztverbrauchers</w:t>
      </w:r>
    </w:p>
    <w:p>
      <w:r>
        <w:rPr>
          <w:color w:val="555555"/>
          <w:sz w:val="18"/>
        </w:rPr>
        <w:t xml:space="preserve">Stromsteuer-Durchführungsverordnung</w:t>
      </w:r>
    </w:p>
    <w:p>
      <w:r>
        <w:rPr>
          <w:color w:val="555555"/>
          <w:sz w:val="18"/>
        </w:rPr>
        <w:t xml:space="preserve">Stand: 01.01.2026 (konsolidierte Textfassung, kein amtliches Inkrafttretensdatum)</w:t>
      </w:r>
    </w:p>
    <w:p>
      <w:r>
        <w:t xml:space="preserve">(1) Der Versorger hat ein Belegheft zu führen. Das zuständige Hauptzollamt kann dazu Anordnungen treffen.</w:t>
      </w:r>
    </w:p>
    <w:p>
      <w:r>
        <w:t xml:space="preserve">(2) Der Versorger hat zur Ermittlung der Steuer und der Grundlagen ihrer Berechnung für den Veranlagungszeitraum Aufzeichnungen nach amtlich vorgeschriebenem Vordruck zu führen. Aus den Aufzeichnungen müssen insbesondere ersichtlich sein:</w:t>
      </w:r>
    </w:p>
    <w:p>
      <w:pPr>
        <w:ind w:left="420"/>
      </w:pPr>
      <w:r>
        <w:t xml:space="preserve">1. der geleistete, durch Letztverbraucher im Steuergebiet entnommene Strom, getrennt nach dem Steuertarif des § 3 des Stromsteuergesetzes und den jeweiligen Steuerbegünstigungen des § 9 des Stromsteuergesetzes sowie getrennt nach den jeweiligen Letztverbrauchern; bei steuerbegünstigten Entnahmen durch Inhaber einer förmlichen Einzelerlaubnis nach § 9 Absatz 4 des Stromsteuergesetzes in Verbindung mit Absatz 1 Nummer 2, den Absätzen 2 und 3 des Stromsteuergesetzes ist die Erlaubnisscheinnummer anzugeben;</w:t>
      </w:r>
    </w:p>
    <w:p>
      <w:pPr>
        <w:ind w:left="420"/>
      </w:pPr>
      <w:r>
        <w:t xml:space="preserve">2. die in § 8 Absatz 4a des Gesetzes näher bezeichneten Strommengen und Steuerbeträge,</w:t>
      </w:r>
    </w:p>
    <w:p>
      <w:pPr>
        <w:ind w:left="420"/>
      </w:pPr>
      <w:r>
        <w:t xml:space="preserve">3. der an andere Versorger unversteuert geleistete Strom getrennt nach Versorgern und unter Angabe der jeweiligen Erlaubnisscheinnummer;</w:t>
      </w:r>
    </w:p>
    <w:p>
      <w:pPr>
        <w:ind w:left="420"/>
      </w:pPr>
      <w:r>
        <w:t xml:space="preserve">4. die Entnahmen von Strom zum Selbstverbrauch getrennt nach den Steuersätzen und den jeweiligen Steuerbegünstigungen der §§ 3 und 9 des Gesetzes;</w:t>
      </w:r>
    </w:p>
    <w:p>
      <w:pPr>
        <w:ind w:left="420"/>
      </w:pPr>
      <w:r>
        <w:t xml:space="preserve">4a. in den Fällen nach § 5a des Stromsteuergesetzes die am jeweiligen Ladepunkt entnommenen Strommengen, getrennt nach dem Steuertarif des § 3 des Stromsteuergesetzes sowie gegebenenfalls der Steuerbefreiungen nach § 9 Absatz 1 Nummer 1 und 3 des Stromsteuergesetzes;</w:t>
      </w:r>
    </w:p>
    <w:p>
      <w:pPr>
        <w:ind w:left="420"/>
      </w:pPr>
      <w:r>
        <w:t xml:space="preserve">5. der Betrag der anzumeldenden und zu entrichtenden Steuer.</w:t>
      </w:r>
    </w:p>
    <w:p>
      <w:r>
        <w:t xml:space="preserve">Das zuständige Hauptzollamt kann Anordnungen zu den Aufzeichnungen treffen und weitere Aufzeichnungen vorschreiben, wenn sie zur Sicherung des Steueraufkommens oder für die Steueraufsicht erforderlich erscheinen. Das Hauptzollamt kann anstelle der Aufzeichnungen nach amtlich vorgeschriebenem Vordruck betriebliche Aufzeichnungen, einfachere Aufzeichnungen oder einen belegmäßigen Nachweis zulassen, wenn die Steuerbelange dadurch nicht beeinträchtigt werden. Der Versorger hat dem Hauptzollamt auf Verlangen die abgeschlossenen Aufzeichnungen oder die belegmäßigen Nachweise vorzulegen.</w:t>
      </w:r>
    </w:p>
    <w:p>
      <w:r>
        <w:t xml:space="preserve">(3) Die Aufzeichnungen und der belegmäßige Nachweis nach Absatz 2 müssen so beschaffen sein, dass es einem sachverständigen Dritten innerhalb einer angemessenen Frist möglich ist, die Grundlagen für die Steuerberechnung festzustellen. Werden anstelle des amtlich vorgeschriebenen Vordrucks betriebliche Aufzeichnungen zugelassen, sind Versorger, die nach dem Handelsgesetzbuch oder der Abgabenordnung dazu verpflichtet sind, ordnungsmäßig kaufmännische Bücher zu führen und rechtzeitig Jahresabschlüsse aufzustellen, verpflichtet, im Hauptbuch ein oder mehrere Stromsteuerkonten zu führen. Ausgehend von den Aufzeichnungen in den Stromsteuerkonten müssen sämtliche Geschäftsvorfälle zur Ermittlung der Steuer und der Grundlagen ihrer Berechnung nachvollziehbar und nachprüfbar sein. Wenn ein Geschäftsjahr abweichend vom Kalenderjahr endet, sind zur Feststellung der Geschäftsvorfälle eines Veranlagungsjahres zum 31. Dezember des Kalenderjahres ein Buchungsstopp sowie eine Abgrenzung der laufenden Geschäftsvorfälle durchzuführen. Für Entnahmen von Strom zum Selbstverbrauch sind Eigenbelege zu erstellen. Die Geschäftsvorfälle sind aus den betrieblichen Aufzeichnungen zu extrahieren, um die Anforderungen an die steuerlichen Aufzeichnungen zu erfüllen.</w:t>
      </w:r>
    </w:p>
    <w:p>
      <w:r>
        <w:t xml:space="preserve">(4) Der Versorger hat dem zuständigen Hauptzollamt Änderungen der nach § 2 angegebenen Verhältnisse sowie Überschuldung, drohende oder eingetretene Zahlungsunfähigkeit, Zahlungseinstellung und Stellung des Antrags auf Eröffnung eines Insolvenzverfahrens unverzüglich schriftlich anzuzeigen, soweit das zuständige Hauptzollamt nicht darauf verzichtet. Das Hauptzollamt kann prüfen, ob der Anzeigepflicht nachgekommen wird, indem es Angaben und Unterlagen anfordert, die für die Erlaubnis erforderlich sind.</w:t>
      </w:r>
    </w:p>
    <w:p>
      <w:r>
        <w:t xml:space="preserve">(5) Der Versorger hat den Erlaubnisschein dem zuständigen Hauptzollamt unverzüglich zurückzugeben, wenn die Erlaubnis erlischt oder die Leistung von Strom nicht nur vorübergehend eingestellt wird. Geht der Erlaubnisschein verloren, hat der Versorger dies dem Hauptzollamt unverzüglich anzuzeigen. Das Hauptzollamt stellt auf Antrag einen neuen Erlaubnisschein aus.</w:t>
      </w:r>
    </w:p>
    <w:p>
      <w:r>
        <w:t xml:space="preserve">(6) Der Versorger hat dem zuständigen Hauptzollamt für jedes Kalenderjahr bis zum 31. Mai des folgenden Kalenderjahres diejenigen Strommengen nach amtlich vorgeschriebenem Vordruck anzumelden, die steuerfrei nach § 9 Absatz 1 Nummer 1, 2 und 3 Buchstabe a und b des Stromsteuergesetzes entnommen worden sind, soweit diese in ortsfesten Anlagen erzeugt worden sind. Versorger nach § 1a Absatz 6 und 7 müssen die steuerfreien Strommengen nur auf Verlangen des zuständigen Hauptzollamts anmelden. Für die Überprüfung der Anmeldung gilt § 5 Absatz 2 entsprechend.</w:t>
      </w:r>
    </w:p>
    <w:p>
      <w:r>
        <w:t xml:space="preserve">(7) Der Versorger ist verpflichtet, die entstandene Stromsteuer nach § 3 des Stromsteuergesetzes in seinen Rechnungen an Letztverbraucher gesondert auszuweisen. In seinen Rechnungen über den an gewerbliche Letztverbraucher mit einem Stromverbrauch von mehr als 10 Megawattstunden pro Jahr geleisteten Strom sind darüber hinaus die jeweiligen Steuerbegünstigungen nach § 9 des Stromsteuergesetzes gesondert auszuweisen. Die Ausweisung hat jeweils deutlich sichtbar und in gut lesbarer Schrift zu erfolgen. Die Strommengen sind in Kilowattstunden getrennt nach den Steuersätzen und den jeweiligen Steuerbegünstigungen der §§ 3 und 9 des Stromsteuergesetzes aufzuführen.</w:t>
      </w:r>
    </w:p>
    <w:p>
      <w:r>
        <w:t xml:space="preserve">(8) Die Absätze 1, 2, 3 Satz 1 und 4 gelten sinngemäß für Eigenerzeuger und Letztverbraucher nach § 4 Absatz 1 des Stromsteuergesetzes. Bei Versorgern nach § 1a Absatz 6 und 7 sind Absatz 3 Satz 1 sowie die Absätze 4 und 7 entsprechend, und die Absätze 1 und 2 mit der Maßgabe anzuwenden, dass kein Belegheft zu führen und vereinfachte Aufzeichnungen oder ein belegmäßiger Nachweis ausreichend sind, wenn die Steuerbelange dadurch nicht beeinträchtigt werden.</w:t>
      </w:r>
    </w:p>
    <w:p>
      <w:r>
        <w:rPr>
          <w:color w:val="555555"/>
          <w:sz w:val="17"/>
        </w:rPr>
        <w:t xml:space="preserve">Zitiervorschlag: § 4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