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StromStV — Übergangsregelung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Erlaubnisse nach § 4 des Stromsteuergesetzes, auch in Verbindung mit § 2 Absatz 3 und § 3 Absatz 2 Satz 1, gelten mit Ablauf des 31. Dezember 2025 als erloschen, sofern die Voraussetzungen des § 1a Absatz 5 vorliegen oder die angezeigten Tätigkeiten die Voraussetzungen des § 1a Absatz 5a in der am 1. Januar 2026 geltenden Fassung erfüllen.</w:t>
      </w:r>
    </w:p>
    <w:p>
      <w:r>
        <w:t xml:space="preserve">(2) Erlaubnisse nach § 9 Absatz 4 in Verbindung mit § 9 Absatz 1 Nummer 2 des Gesetzes erlöschen in den Fällen nach § 12 Absatz 3 Satz 2 und in den Fällen nach § 12 Absatz 4 mit Ablauf des 31. Dezember 2017. Der Erlaubnisschein ist unverzüglich zurückzugeben.</w:t>
      </w:r>
    </w:p>
    <w:p>
      <w:r>
        <w:rPr>
          <w:color w:val="555555"/>
          <w:sz w:val="17"/>
        </w:rPr>
        <w:t xml:space="preserve">Zitiervorschlag: § 21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