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StromStV — Antrag auf Erlaubnis</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Die Erlaubnis nach § 4 Absatz 1 des Gesetzes ist vor Aufnahme der Tätigkeit schriftlich nach amtlich vorgeschriebenem Vordruck beim zuständigen Hauptzollamt zu beantragen.</w:t>
      </w:r>
    </w:p>
    <w:p>
      <w:r>
        <w:t xml:space="preserve">(2) Dem Antrag sind beizufügen:</w:t>
      </w:r>
    </w:p>
    <w:p>
      <w:pPr>
        <w:ind w:left="420"/>
      </w:pPr>
      <w:r>
        <w:t xml:space="preserve">1. ein Verzeichnis der Betriebsstätten im Steuergebiet nach § 12 der Abgabenordnung;</w:t>
      </w:r>
    </w:p>
    <w:p>
      <w:pPr>
        <w:ind w:left="420"/>
      </w:pPr>
      <w:r>
        <w:t xml:space="preserve">2. eine Darstellung der Mengenermittlung und Mengenabrechnung;</w:t>
      </w:r>
    </w:p>
    <w:p>
      <w:pPr>
        <w:ind w:left="420"/>
      </w:pPr>
      <w:r>
        <w:t xml:space="preserve">3. auf Verlangen des zuständigen Hauptzollamts eine Betriebserklärung nach amtlich vorgeschriebenem Vordruck für jede Anlage, die Teil einer allgemeinen Erlaubnis nach § 10 Absatz 2 ist; soweit in der Betriebserklärung Daten zu Stromerzeugungseinheiten verlangt werden, die bereits zutreffend im Marktstammdatenregister enthalten sind, ist eine Angabe nicht erneut erforderlich;</w:t>
      </w:r>
    </w:p>
    <w:p>
      <w:pPr>
        <w:ind w:left="420"/>
      </w:pPr>
      <w:r>
        <w:t xml:space="preserve">4. gegebenenfalls eine Erklärung über die Bestellung eines Beauftragten nach § 214 der Abgabenordnung.</w:t>
      </w:r>
    </w:p>
    <w:p>
      <w:r>
        <w:t xml:space="preserve">(3) In den Fällen des § 1a Absatz 6 und 7 hat der Antragsteller anstelle der Beantragung einer Erlaubnis nach Absatz 1 Satz 1 vor Aufnahme der Tätigkeit diese schriftlich nach amtlich vorgeschriebenem Vordruck beim zuständigen Hauptzollamt anzuzeigen.</w:t>
      </w:r>
    </w:p>
    <w:p>
      <w:r>
        <w:t xml:space="preserve">(4) Das Hauptzollamt kann vom Antragsteller weitere Angaben und Unterlagen verlangen, wenn sie zur Sicherung des Steueraufkommens oder für die Steueraufsicht erforderlich erscheinen. Es kann auf Angaben und Unterlagen verzichten, soweit die Steuerbelange dadurch nicht beeinträchtigt werden.</w:t>
      </w:r>
    </w:p>
    <w:p>
      <w:r>
        <w:rPr>
          <w:color w:val="555555"/>
          <w:sz w:val="17"/>
        </w:rPr>
        <w:t xml:space="preserve">Zitiervorschlag: § 2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