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1e StromStV — Verfahren bei Unternehmen in Schwierigkeiten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unverzügliche Mitteilung nach § 2a Absatz 2 Satz 2 des Gesetzes ist nach amtlich vorgeschriebenem Vordruck abzugeben. Bei Steuerbefreiungen und Steuerermäßigungen nach § 2a Absatz 2 Satz 1 des Gesetzes entsteht für den entnommenen elektrischen Strom die Steuer nach dem Steuersatz des § 3 des Gesetzes. Besteht die Steuerbegünstigung in einer Steuerermäßigung, gilt Satz 2 nur für den ermäßigten Teil der Steuer. § 1d Absatz 1 Satz 4 bis 7 gilt entsprechend. Sofern der Zeitraum der Schwierigkeiten zwölf Monate nicht überschritten hat, kann auf Antrag eine Steuerentlastung entsprechend § 1d Absatz 2 gewährt werden.</w:t>
      </w:r>
    </w:p>
    <w:p>
      <w:r>
        <w:t xml:space="preserve">(2) Die Versicherung nach § 2a Absatz 2 Satz 3 des Gesetzes ist nach amtlich vorgeschriebenem Vordruck abzugeben. § 1d Absatz 3 Satz 2 bis 5 gilt entsprechend. Steuerentlastungen nach § 2a Absatz 2 Satz 1 des Gesetzes sowie die Steuerentlastungen nach den §§ 12c, 12d und 14a dürfen nur gewährt werden, sofern sich das Unternehmen im Zeitpunkt der Antragstellung nicht in Schwierigkeiten befand.</w:t>
      </w:r>
    </w:p>
    <w:p>
      <w:r>
        <w:t xml:space="preserve">(3) Zur Umsetzung des § 2a Absatz 2 des Gesetzes können Verwaltungsakte mit einer Nebenbestimmung nach § 120 der Abgabenordnung versehen werden.</w:t>
      </w:r>
    </w:p>
    <w:p>
      <w:r>
        <w:rPr>
          <w:color w:val="555555"/>
          <w:sz w:val="17"/>
        </w:rPr>
        <w:t xml:space="preserve">Zitiervorschlag: § 1e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https://recht.nulegal.eu/gesetze/StromStV/1e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