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1d StromStV — Verfahren bei offenen Rückforderungsanordnungen</w:t>
      </w:r>
    </w:p>
    <w:p>
      <w:r>
        <w:rPr>
          <w:color w:val="555555"/>
          <w:sz w:val="18"/>
        </w:rPr>
        <w:t xml:space="preserve">Stromsteuer-Durchführungsverordnung</w:t>
      </w:r>
    </w:p>
    <w:p>
      <w:r>
        <w:rPr>
          <w:color w:val="555555"/>
          <w:sz w:val="18"/>
        </w:rPr>
        <w:t xml:space="preserve">Stand: 01.01.2025 (konsolidierte Textfassung, kein amtliches Inkrafttretensdatum)</w:t>
      </w:r>
    </w:p>
    <w:p>
      <w:r>
        <w:t xml:space="preserve">(1) Die unverzügliche Mitteilung nach § 2a Absatz 1 Satz 2 des Gesetzes ist nach amtlich vorgeschriebenem Vordruck abzugeben. Bei Steuerbefreiungen und Steuerermäßigungen nach § 2a Absatz 1 Satz 1 des Gesetzes entsteht für den entnommenen elektrischen Strom die Steuer nach dem Steuersatz des § 3 des Gesetzes. Besteht die Steuerbegünstigung in einer Steuerermäßigung, gilt Satz 2 nur für den ermäßigten Teil der Steuer. Der Steuerschuldner hat für elektrischen Strom, für den die Steuer entstanden ist, bis zum 15. Tag des folgenden Monats eine Steuererklärung nach amtlich vorgeschriebenem Vordruck abzugeben und darin die Steuer selbst zu berechnen (Steueranmeldung). Die Steuer, die in einem Monat entstanden ist, ist am 25. Tag des Monats fällig, der auf den Monat der Entstehung der Steuer folgt. Wird die Mitteilung nach Satz 1 nicht oder nicht rechtzeitig abgegeben, ist die Steueranmeldung unverzüglich abzugeben und die Steuer sofort fällig.</w:t>
      </w:r>
    </w:p>
    <w:p>
      <w:r>
        <w:t xml:space="preserve">(2) Für den nachweislich nach Absatz 1 versteuerten elektrischen Strom kann auf Antrag eine Steuerentlastung bis auf den Betrag entsprechend den in § 2a Absatz 1 und 3 des Gesetzes genannten Steuerbefreiungen und Steuerermäßigungen gewährt werden, wenn der Antragsteller nachweist, dass er der Rückforderungsanordnung zwischenzeitlich nachgekommen ist. Die Steuerentlastung nach Satz 1 ist bei dem für den Antragsteller zuständigen Hauptzollamt zu beantragen. Der Antragsteller hat in der Anmeldung alle Angaben zu machen, die für die Bemessung der Steuerentlastung erforderlich sind, und die Steuerentlastung selbst zu berechnen (Steueranmeldung). Die Steuerentlastung wird nur gewährt, wenn der Antrag spätestens bis zum Ablauf der Festsetzungsfrist im Sinne des § 169 Absatz 2 Satz 1 Nummer 1 der Abgabenordnung beim Hauptzollamt gestellt wird.</w:t>
      </w:r>
    </w:p>
    <w:p>
      <w:r>
        <w:t xml:space="preserve">(3) Die Versicherung nach § 2a Absatz 1 Satz 3 des Gesetzes ist nach amtlich vorgeschriebenem Vordruck abzugeben. Steuerentlastungen nach § 2a Absatz 1 Satz 1 des Gesetzes sowie die Steuerentlastungen nach den §§ 12c, 12d und 14a dürfen nur gewährt werden, wenn die Versicherung dem zuständigen Hauptzollamt vorliegt. Die Versicherung ist vom Antragsteller für den ersten Entlastungsabschnitt jedes Kalenderjahres vorzulegen. Weiteren Anträgen auf Steuerentlastung muss die Versicherung nur beigefügt werden, wenn sich Änderungen gegenüber der dem zuständigen Hauptzollamt bereits vorliegenden Versicherung ergeben haben. Für Änderungsanträge gelten die Sätze 1 bis 4 sinngemäß. Steuerentlastungen nach § 2a Absatz 1 Satz 1 des Gesetzes sowie die Steuerentlastungen nach den §§ 12c, 12d und 14a dürfen nicht ausgezahlt werden, solange eine offene Rückforderungsanordnung besteht.</w:t>
      </w:r>
    </w:p>
    <w:p>
      <w:r>
        <w:t xml:space="preserve">(4) Zur Umsetzung von § 2a Absatz 1 des Gesetzes können Verwaltungsakte mit einer Nebenbestimmung nach § 120 der Abgabenordnung versehen werden.</w:t>
      </w:r>
    </w:p>
    <w:p>
      <w:r>
        <w:rPr>
          <w:color w:val="555555"/>
          <w:sz w:val="17"/>
        </w:rPr>
        <w:t xml:space="preserve">Zitiervorschlag: § 1d StromStV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https://recht.nulegal.eu/gesetze/StromStV/1d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