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17g StromStV — Steuerentlastung im Zusammenhang mit der Gemeinsamen Sicherheits- und Verteidigungspolitik (GSVP)</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Die Steuerentlastung ist bei dem für den Antragsteller zuständigen Hauptzollamt mit einer Anmeldung nach amtlich vorgeschriebenem Vordruck für den Strom zu beantragen, der innerhalb eines Entlastungsabschnitts geleistet worden ist. Der Antragsteller hat in der Anmeldung die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(3) Dem Antrag auf Steuerentlastung sind Unterlagen beizufügen, die den zeitlichen und räumlichen Umfang der begünstigten Maßnahme der Gemeinsamen Sicherheits- und Verteidigungspolitik sowie die vom Antragsteller geleistete Strommenge belegen. Das Hauptzollamt kann weitere Unterlagen anfordern, sofern dies zur Beurteilung der Steuerbegünstigung erforderlich ist.</w:t>
      </w:r>
    </w:p>
    <w:p>
      <w:r>
        <w:t xml:space="preserve">(4) Der Antragsteller hat einen buchmäßigen Nachweis zu führen, dem für die Leistung im Entlastungsabschnitt die Menge, die Herkunft und der Bezieher des Stroms zu entnehmen sein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(5) Strom, der für zivile Missionen im Zusammenhang mit der Gemeinsamen Sicherheits- und Verteidigungspolitik geleistet wird, ist nur dann entlastungsfähig, wenn er durch das zivile Begleitpersonal von Streitkräften entnommen wird. Dieses muss Aufgaben ausführen, die unmittelbar mit einer Verteidigungsanstrengung im Rahmen mit der Gemeinsamen Sicherheits- und Verteidigungspolitik außerhalb ihres Mitgliedstaates zusammenhängen. Aufgaben, zu deren Erfüllung ausschließlich Zivilpersonal oder zivile Fähigkeiten eingesetzt werden, sind nicht als Verteidigungsanstrengungen zu betrachten.</w:t>
      </w:r>
    </w:p>
    <w:p>
      <w:r>
        <w:rPr>
          <w:color w:val="555555"/>
          <w:sz w:val="17"/>
        </w:rPr>
        <w:t xml:space="preserve">Zitiervorschlag: § 17g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