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17e StromStV — Steuerentlastung für den Öffentlichen Personennahverkehr, Nachweise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erstmalige Antrag auf Steuerentlastung nach § 17d Absatz 1 muss ergänzend zum amtlich vorgeschriebenen Vordruck die in § 102b Absatz 1 der Energiesteuer-Durchführungsverordnung vorgeschriebenen Angaben enthalten, soweit diese zutreffen.</w:t>
      </w:r>
    </w:p>
    <w:p>
      <w:r>
        <w:t xml:space="preserve">(2) Änderungen der betrieblichen Verhältnisse, die für die Angaben nach Absatz 1 maßgeblich sind, sind dem zuständigen Hauptzollamt spätestens mit dem nächsten Antrag auf Steuerentlastung anzuzeigen.</w:t>
      </w:r>
    </w:p>
    <w:p>
      <w:r>
        <w:t xml:space="preserve">(3) Für jeden Entlastungsabschnitt nach § 17d Absatz 2 sind Berechnungsbögen zum Antrag auf Steuerentlastung zu erstellen. Die Berechnungsbögen müssen die in § 102b Absatz 3 der Energiesteuer-Durchführungsverordnung vorgeschriebenen Angaben enthalten.</w:t>
      </w:r>
    </w:p>
    <w:p>
      <w:r>
        <w:t xml:space="preserve">(4) Der Antragsteller hat für jedes Fahrzeug, in dem der Strom verwendet worden ist, einen buchmäßigen Nachweis mit den in § 102b Absatz 4 der Energiesteuer-Durchführungsverordnung vorgeschriebenen Angaben zu führen.</w:t>
      </w:r>
    </w:p>
    <w:p>
      <w:r>
        <w:rPr>
          <w:color w:val="555555"/>
          <w:sz w:val="17"/>
        </w:rPr>
        <w:t xml:space="preserve">Zitiervorschlag: § 17e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