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StromStV — Wasserfahrzeuge und Schifffahrt</w:t>
      </w:r>
    </w:p>
    <w:p>
      <w:r>
        <w:rPr>
          <w:color w:val="555555"/>
          <w:sz w:val="18"/>
        </w:rPr>
        <w:t xml:space="preserve">Stromsteuer-Durchführungsverordnung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Wasserfahrzeuge im Sinn des § 9 Absatz 1 Nummer 5 und Absatz 3 des Gesetzes gelten alle im Kapitel 89 der Kombinierten Nomenklatur (§ 1 Absatz 2 des Gesetzes) erfassten Fahrzeuge und schwimmenden Vorrichtungen mit eigenem motorischen Antrieb zur Fortbewegung.</w:t>
      </w:r>
    </w:p>
    <w:p>
      <w:r>
        <w:t xml:space="preserve">(2) Als Schifffahrt im Sinn des § 9 Absatz 3 des Gesetzes gelten nicht</w:t>
      </w:r>
    </w:p>
    <w:p>
      <w:pPr>
        <w:ind w:left="420"/>
      </w:pPr>
      <w:r>
        <w:t xml:space="preserve">1. die stationäre Nutzung eines Wasserfahrzeugs als Wohnschiff, Hotelschiff oder zu ähnlichen Zwecken,</w:t>
      </w:r>
    </w:p>
    <w:p>
      <w:pPr>
        <w:ind w:left="420"/>
      </w:pPr>
      <w:r>
        <w:t xml:space="preserve">2. der Antrieb von Arbeitsmaschinen, die auf einem schwimmenden Arbeitsgerät fest montiert sind und aufgrund eines eigenen Motors unabhängig vom Antriebsmotor des schwimmenden Arbeitsgeräts betrieben werden.</w:t>
      </w:r>
    </w:p>
    <w:p>
      <w:r>
        <w:t xml:space="preserve">(2a) Als schwimmende Arbeitsgeräte im Sinn des Absatzes 2 Nummer 2 gelten die in der Position 8905 der Kombinierten Nomenklatur erfassten Wasserfahrzeuge und schwimmenden Vorrichtungen mit eigenem motorischen Antrieb zur Fortbewegung.</w:t>
      </w:r>
    </w:p>
    <w:p>
      <w:r>
        <w:t xml:space="preserve">(3) Private nichtgewerbliche Schifffahrt im Sinn des § 9 Absatz 3 des Gesetzes ist die Nutzung eines Wasserfahrzeugs durch seinen Eigentümer oder den durch Anmietung oder aus sonstigen Gründen Nutzungsberechtigten zu anderen Zwecken als</w:t>
      </w:r>
    </w:p>
    <w:p>
      <w:pPr>
        <w:ind w:left="420"/>
      </w:pPr>
      <w:r>
        <w:t xml:space="preserve">1. zur gewerbsmäßigen Beförderung von Personen oder Sachen,</w:t>
      </w:r>
    </w:p>
    <w:p>
      <w:pPr>
        <w:ind w:left="420"/>
      </w:pPr>
      <w:r>
        <w:t xml:space="preserve">2. zur gewerbsmäßigen Erbringung von Dienstleistungen, ausgenommen die Nutzung von Wasserfahrzeugen der Position 8903 der Kombinierten Nomenklatur auf Binnengewässern,</w:t>
      </w:r>
    </w:p>
    <w:p>
      <w:pPr>
        <w:ind w:left="420"/>
      </w:pPr>
      <w:r>
        <w:t xml:space="preserve">3. zur Seenotrettung durch Seenotrettungsdienste,</w:t>
      </w:r>
    </w:p>
    <w:p>
      <w:pPr>
        <w:ind w:left="420"/>
      </w:pPr>
      <w:r>
        <w:t xml:space="preserve">4. zu Forschungszwecken,</w:t>
      </w:r>
    </w:p>
    <w:p>
      <w:pPr>
        <w:ind w:left="420"/>
      </w:pPr>
      <w:r>
        <w:t xml:space="preserve">5. zur dienstlichen Nutzung durch Behörden oder</w:t>
      </w:r>
    </w:p>
    <w:p>
      <w:pPr>
        <w:ind w:left="420"/>
      </w:pPr>
      <w:r>
        <w:t xml:space="preserve">6. zur Haupterwerbsfischerei.</w:t>
      </w:r>
    </w:p>
    <w:p>
      <w:r>
        <w:t xml:space="preserve">(4) Gewerbsmäßigkeit im Sinn des Absatzes 3 Nummer 1 und 2 liegt vor, wenn die mit Wasserfahrzeugen gegen Entgelt ausgeübte Tätigkeit mit Gewinnerzielungsabsicht betrieben wird und der Unternehmer auf eigenes Risiko und eigene Verantwortung handelt.</w:t>
      </w:r>
    </w:p>
    <w:p>
      <w:r>
        <w:t xml:space="preserve">(5) Binnengewässer im Sinn des Absatzes 3 Nummer 2 sind die Binnenwasserstraßen nach § 1 Absatz 1 Nummer 1 des Bundeswasserstraßengesetzes in der Fassung der Bekanntmachung vom 23. Mai 2007 (BGBl. I S. 962; 2008 I S. 1980), das zuletzt durch § 2 der Verordnung vom 27. April 2010 (BGBl. I S. 540) geändert worden ist, in der jeweils geltenden Fassung und die sonstigen im Binnenland gelegenen Gewässer, die für die Schifffahrt geeignet und bestimmt sind, mit Ausnahme</w:t>
      </w:r>
    </w:p>
    <w:p>
      <w:pPr>
        <w:ind w:left="420"/>
      </w:pPr>
      <w:r>
        <w:t xml:space="preserve">1. der Seeschifffahrtsstraßen gemäß § 1 Absatz 1 der Seeschifffahrtsstraßen-Ordnung in der Fassung der Bekanntmachung vom 22. Oktober 1998 (BGBl. I S. 3209; 1999 I S. 193), die zuletzt durch Artikel 1 der Verordnung vom 7. April 2010 (BGBl. I S. 399) geändert worden ist, in der jeweils geltenden Fassung,</w:t>
      </w:r>
    </w:p>
    <w:p>
      <w:pPr>
        <w:ind w:left="420"/>
      </w:pPr>
      <w:r>
        <w:t xml:space="preserve">2. der Ems und der Leda in den Grenzen, die in § 1 Absatz 1 Satz 1 Nummer 2 der Verordnung zur Einführung der Schifffahrtsordnung Emsmündung vom 8. August 1989 (BGBl. I S. 1583), die zuletzt durch Artikel 3 § 17 der Verordnung vom 19. Dezember 2008 (BGBl. I S. 2868; 2010 I S. 380) geändert worden ist, in der jeweils geltenden Fassung genannt werden, und</w:t>
      </w:r>
    </w:p>
    <w:p>
      <w:pPr>
        <w:ind w:left="420"/>
      </w:pPr>
      <w:r>
        <w:t xml:space="preserve">3. der Elbe von Kilometer 607,5 bis Kilometer 639 und des Hamburger Hafens in den Grenzen, die in § 1 Absatz 2 des Hafenverkehrs- und Schifffahrtsgesetzes vom 3. Juli 1979 (HmbGVBl. I S. 177), das zuletzt durch Artikel 4 des Gesetzes vom 6. Oktober 2005 (HmbGVBl. I S. 424) geändert worden ist, in der jeweils geltenden Fassung genannt werden.</w:t>
      </w:r>
    </w:p>
    <w:p>
      <w:r>
        <w:rPr>
          <w:color w:val="555555"/>
          <w:sz w:val="17"/>
        </w:rPr>
        <w:t xml:space="preserve">Zitiervorschlag: § 14 StromStV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