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13a StromStV — Differenzversteuerung</w:t>
      </w:r>
    </w:p>
    <w:p>
      <w:r>
        <w:rPr>
          <w:color w:val="555555"/>
          <w:sz w:val="18"/>
        </w:rPr>
        <w:t xml:space="preserve">Stromsteuer-Durchführungsverordnung</w:t>
      </w:r>
    </w:p>
    <w:p>
      <w:r>
        <w:rPr>
          <w:color w:val="555555"/>
          <w:sz w:val="18"/>
        </w:rPr>
        <w:t xml:space="preserve">Stand: 08.09.2021 (konsolidierte Textfassung, kein amtliches Inkrafttretensdatum)</w:t>
      </w:r>
    </w:p>
    <w:p>
      <w:r>
        <w:t xml:space="preserve">(1) Das Hauptzollamt kann auf Antrag zulassen, dass Inhaber von Erlaubnissen zur steuerbegünstigten Entnahme von Strom steuerbegünstigt nach § 9 Absatz 2 des Gesetzes bezogenen Strom</w:t>
      </w:r>
    </w:p>
    <w:p>
      <w:pPr>
        <w:ind w:left="420"/>
      </w:pPr>
      <w:r>
        <w:t xml:space="preserve">1. zu steuerbegünstigten Zwecken nach § 9 Absatz 2 des Gesetzes oder</w:t>
      </w:r>
    </w:p>
    <w:p>
      <w:pPr>
        <w:ind w:left="420"/>
      </w:pPr>
      <w:r>
        <w:t xml:space="preserve">2. unter Versteuerung mit dem Unterschiedsbetrag der jeweils gültigen Steuersätze nach § 9 Absatz 2 und § 3 des Gesetzes für nicht steuerbegünstigte Zwecke</w:t>
      </w:r>
    </w:p>
    <w:p>
      <w:r>
        <w:t xml:space="preserve">an ihre Mieter, Pächter oder an vergleichbare Vertragsparteien leisten. Der Erlaubnisinhaber gilt insoweit nicht als Versorger, sondern als Letztverbraucher im Sinn des § 5 Absatz 1 Satz 1 des Gesetzes. § 9 Absatz 6 Satz 2 und 3 des Gesetzes gilt sinngemäß. Steuerschuldner für den Unterschiedsbetrag ist der Erlaubnisinhaber, dem die Zulassung nach Satz 1 erteilt wurde. Die für die Vertragsparteien des Erlaubnisinhabers geltenden Bestimmungen des Gesetzes und dieser Verordnung bleiben dadurch unberührt.</w:t>
      </w:r>
    </w:p>
    <w:p>
      <w:r>
        <w:t xml:space="preserve">(2) Das Hauptzollamt kann auf Antrag zulassen, dass Inhaber von Erlaubnissen zur steuerbegünstigten Entnahme von Strom steuerbegünstigt nach § 9 Absatz 2 des Gesetzes bezogenen Strom unter Versteuerung mit dem Unterschiedsbetrag der jeweils gültigen Steuersätze nach § 9 Absatz 2 und § 3 des Gesetzes für nicht steuerbegünstigte Zwecke entnehmen. § 9 Absatz 6 Satz 2 und 3 des Gesetzes gilt sinngemäß. Steuerschuldner für den Unterschiedsbetrag ist der Erlaubnisinhaber, dem die Zulassung nach Satz 1 erteilt wurde.</w:t>
      </w:r>
    </w:p>
    <w:p>
      <w:r>
        <w:t xml:space="preserve">(2a) Für die Überprüfung der Erlaubnis gilt § 3 Absatz 2a entsprechend.</w:t>
      </w:r>
    </w:p>
    <w:p>
      <w:r>
        <w:t xml:space="preserve">(3) Der Steuerschuldner nach Absatz 1 oder Absatz 2 hat für Strom, für den die Steuer entstanden ist, beim zuständigen Hauptzollamt eine Steuererklärung nach amtlich vorgeschriebenem Vordruck abzugeben und darin die Steuer selbst zu berechnen (Steueranmeldung). § 8 Absatz 2 bis 7 und 10 des Gesetzes sowie § 4 Absatz 2 bis 4 und § 5 Absatz 2 gelten sinngemäß.</w:t>
      </w:r>
    </w:p>
    <w:p>
      <w:r>
        <w:rPr>
          <w:color w:val="555555"/>
          <w:sz w:val="17"/>
        </w:rPr>
        <w:t xml:space="preserve">Zitiervorschlag: § 13a StromStV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https://recht.nulegal.eu/gesetze/StromStV/13a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