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StromStV — Zeitgleichheit, Mengenermittlung</w:t>
      </w:r>
    </w:p>
    <w:p>
      <w:r>
        <w:rPr>
          <w:color w:val="555555"/>
          <w:sz w:val="18"/>
        </w:rPr>
        <w:t xml:space="preserve">Stromsteuer-Durchführungsverordnung</w:t>
      </w:r>
    </w:p>
    <w:p>
      <w:r>
        <w:rPr>
          <w:color w:val="555555"/>
          <w:sz w:val="18"/>
        </w:rPr>
        <w:t xml:space="preserve">Stand: 01.01.2026 (konsolidierte Textfassung, kein amtliches Inkrafttretensdatum)</w:t>
      </w:r>
    </w:p>
    <w:p>
      <w:r>
        <w:t xml:space="preserve">(1) Soll eine bestimmte nicht nach § 3 des Stromsteuergesetzes zu versteuernde oder eine bestimmte zu entlastende Strommenge einer bestimmten Entnahmestelle bilanziell zugeordnet werden, weil eine physikalische Zuordnung nicht möglich ist oder eine Leistungsbeziehung über diese Menge besteht, darf diese Menge höchstens bis zur Höhe der Entnahme bezogen auf jedes 15-Minuten-Intervall berücksichtigt werden (Zeitgleichheit). Zum Nachweis der Zeitgleichheit ist die jeweilige Menge zur Abgrenzung bezogen auf jedes 15-Minuten-Intervall in geeigneter Form mit mess- und eichrechtskonformen Messeinrichtungen zu erfassen. In anderen Fällen als nach Satz 1 kann die Zeitgleichheit auch auf andere Weise nachgewiesen werden. In diesen Fällen ist eine sachgerechte, von einem Dritten nachvollziehbare Schätzung zur Ermittlung der Mengen zulässig, soweit eine genaue Ermittlung nur mit unvertretbarem Aufwand möglich ist und die Steuerbelange dadurch nicht beeinträchtigt werden.</w:t>
      </w:r>
    </w:p>
    <w:p>
      <w:r>
        <w:t xml:space="preserve">(2) Wird Strom erzeugt und am Ort der Erzeugung ohne Nutzung des Netzes der allgemeinen Versorgung mit Strom entnommen, gilt die Zeitgleichheit zwischen der Erzeugung und der Entnahme der nach § 9 Absatz 1 Nummer 1, 3, 4 oder Nummer 6 des Stromsteuergesetzes steuerfreien und der nach den §§ 12c und 12d entlastungsfähigen Menge abweichend von Absatz 1 auch dann als sichergestellt, wenn diese Mengen jeweils gemäß ihrem Verhältnis zu der insgesamt im Veranlagungszeitraum entnommenen Menge den dortigen Entnahmestellen zugeordnet werden (quotale Zuordnung). Vorhandene Messungen sind zu berücksichtigen, insbesondere wenn sie bezogen auf jedes 15-Minuten-Intervall der quotalen Zuordnung entgegenstehen.</w:t>
      </w:r>
    </w:p>
    <w:p>
      <w:r>
        <w:t xml:space="preserve">(3) Soweit sich am Ort der Erzeugung Stromspeicher oder Ladepunkte befinden, können abweichend von Absatz 2 für die Ermittlung der jeweiligen Strommengen und deren Abgrenzung § 21 des Energiefinanzierungsgesetzes und die dazu getroffenen Festlegungen der Bundesnetzagentur entsprechend angewendet werden.</w:t>
      </w:r>
    </w:p>
    <w:p>
      <w:r>
        <w:rPr>
          <w:color w:val="555555"/>
          <w:sz w:val="17"/>
        </w:rPr>
        <w:t xml:space="preserve">Zitiervorschlag: § 11a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