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StromStG — Anwendungsvorschriften</w:t>
      </w:r>
    </w:p>
    <w:p>
      <w:r>
        <w:rPr>
          <w:color w:val="555555"/>
          <w:sz w:val="18"/>
        </w:rPr>
        <w:t xml:space="preserve">Stromsteuergesetz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Nach § 9 Absatz 4 in Verbindung mit § 9 Absatz 3 dieses Gesetzes in der am 31. Dezember 2010 geltenden Fassung erteilte Erlaubnisse und den Inhabern dieser Erlaubnisse erteilte Zulassungen nach § 16 Absatz 1 der Stromsteuer-Durchführungsverordnung in der am 31. Dezember 2010 geltenden Fassung erlöschen mit Ablauf des 31. Dezember 2010.</w:t>
      </w:r>
    </w:p>
    <w:p>
      <w:r>
        <w:t xml:space="preserve">(2) (weggefallen)</w:t>
      </w:r>
    </w:p>
    <w:p>
      <w:r>
        <w:t xml:space="preserve">(3) Erlaubnisse, die nach § 9 Absatz 1 Nummer 1 und 3 in der am 1. Juli 2019 geltenden Fassung erforderlich werden, gelten bei Vorliegen der Voraussetzungen nach § 9 Absatz 1 Nummer 1 und 3 und vorbehaltlich des Satzes 2 ab dem 1. Juli 2019 auch ohne Antrag als widerruflich erteilt. Satz 1 gilt nur, wenn bis zum 31. Dezember 2019 der Antrag auf Erlaubnis nach § 9 Absatz 4 nachgereicht wird.</w:t>
      </w:r>
    </w:p>
    <w:p>
      <w:r>
        <w:rPr>
          <w:color w:val="555555"/>
          <w:sz w:val="17"/>
        </w:rPr>
        <w:t xml:space="preserve">Zitiervorschlag: § 15 StromStG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