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StromStG — Bußgeldvorschriften</w:t>
      </w:r>
    </w:p>
    <w:p>
      <w:r>
        <w:rPr>
          <w:color w:val="555555"/>
          <w:sz w:val="18"/>
        </w:rPr>
        <w:t xml:space="preserve">Stromsteuergesetz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Ordnungswidrig handelt, wer vorsätzlich oder leichtfertig</w:t>
      </w:r>
    </w:p>
    <w:p>
      <w:pPr>
        <w:ind w:left="420"/>
      </w:pPr>
      <w:r>
        <w:t xml:space="preserve">1. entgegen § 8 Absatz 6 Satz 4 bis 7 eine Mitteilung nicht, nicht richtig oder nicht rechtzeitig macht oder</w:t>
      </w:r>
    </w:p>
    <w:p>
      <w:pPr>
        <w:ind w:left="420"/>
      </w:pPr>
      <w:r>
        <w:t xml:space="preserve">2. einer Rechtsverordnung nach § 11 Nummer 13 Buchstabe a bis c oder d oder einer vollziehbaren Anordnung auf Grund einer solchen Rechtsverordnung zuwiderhandelt, soweit die Rechtsverordnung für einen bestimmten Tatbestand auf diese Bußgeldvorschrift verweist.</w:t>
      </w:r>
    </w:p>
    <w:p>
      <w:r>
        <w:t xml:space="preserve">(2) Die Ordnungswidrigkeit kann mit einer Geldbuße bis zu fünftausend Euro geahndet werden.</w:t>
      </w:r>
    </w:p>
    <w:p>
      <w:r>
        <w:t xml:space="preserve">(3) Verwaltungsbehörde im Sinn des § 36 Absatz 1 Nummer 1 des Gesetzes über Ordnungswidrigkeiten ist das Hauptzollamt.</w:t>
      </w:r>
    </w:p>
    <w:p>
      <w:r>
        <w:rPr>
          <w:color w:val="555555"/>
          <w:sz w:val="17"/>
        </w:rPr>
        <w:t xml:space="preserve">Zitiervorschlag: § 14 StromStG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https://recht.nulegal.eu/gesetze/StromStG/14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