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StromStG — Erlass von Rechtsverordnungen</w:t>
      </w:r>
    </w:p>
    <w:p>
      <w:r>
        <w:rPr>
          <w:color w:val="555555"/>
          <w:sz w:val="18"/>
        </w:rPr>
        <w:t xml:space="preserve">Stromsteuergesetz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Rechtsverordnungen, die auf Grund der in diesem Gesetz enthaltenen Ermächtigungen erlassen werden, bedürfen nicht der Zustimmung des Bundesrates.</w:t>
      </w:r>
    </w:p>
    <w:p>
      <w:r>
        <w:rPr>
          <w:color w:val="555555"/>
          <w:sz w:val="17"/>
        </w:rPr>
        <w:t xml:space="preserve">Zitiervorschlag: § 13 StromStG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