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StromStG — Datenübermittlung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Generalzolldirektion sowie die Hauptzollämter dürfen Informationen, einschließlich personenbezogener Daten sowie Betriebs- und Geschäftsgeheimnisse, die ihnen in einem Steuerverfahren bekannt geworden sind, an folgende Stellen übermitteln, soweit dies für die Erfüllung der jeweiligen gesetzlichen Aufgaben erforderlich ist:</w:t>
      </w:r>
    </w:p>
    <w:p>
      <w:pPr>
        <w:ind w:left="420"/>
      </w:pPr>
      <w:r>
        <w:t xml:space="preserve">1. an die Übertragungsnetzbetreiber zur Erfüllung ihrer Aufgaben im Zusammenhang mit</w:t>
      </w:r>
    </w:p>
    <w:p>
      <w:pPr>
        <w:ind w:left="780"/>
      </w:pPr>
      <w:r>
        <w:t xml:space="preserve">a) dem Betrieb der Energieversorgungsnetze und der Systemverantwortung für die Energieversorgungsnetze nach dem Energiewirtschaftsgesetz und den dazu erlassenen Rechtsverordnungen,</w:t>
      </w:r>
    </w:p>
    <w:p>
      <w:pPr>
        <w:ind w:left="780"/>
      </w:pPr>
      <w:r>
        <w:t xml:space="preserve">b) der Erhebung der nach Teil 4 Abschnitt 4 des Energiefinanzierungsgesetzes begrenzten Umlagen oder</w:t>
      </w:r>
    </w:p>
    <w:p>
      <w:pPr>
        <w:ind w:left="780"/>
      </w:pPr>
      <w:r>
        <w:t xml:space="preserve">c) den Vermarktungspflichten nach dem Erneuerbare-Energien-Gesetz und den dazu erlassenen Rechtsverordnungen,</w:t>
      </w:r>
    </w:p>
    <w:p>
      <w:pPr>
        <w:ind w:left="420"/>
      </w:pPr>
      <w:r>
        <w:t xml:space="preserve">2. an die Bundesnetzagentur zur Erfüllung ihrer Aufgaben nach dem Energiewirtschaftsgesetz, dem Erneuerbare-Energien-Gesetz, dem Energiefinanzierungsgesetz, dem Kraft-Wärme-Kopplungsgesetz oder den zu diesen Gesetzen erlassenen Rechtsverordnungen,</w:t>
      </w:r>
    </w:p>
    <w:p>
      <w:pPr>
        <w:ind w:left="420"/>
      </w:pPr>
      <w:r>
        <w:t xml:space="preserve">3. an das Umweltbundesamt zur Erfüllung seiner Aufgaben im Zusammenhang mit der Stromkennzeichnung nach dem Energiewirtschaftsgesetz oder dem Erneuerbare-Energien-Gesetz oder den auf Grund dieser Gesetze erlassenen Rechtsverordnungen und</w:t>
      </w:r>
    </w:p>
    <w:p>
      <w:pPr>
        <w:ind w:left="420"/>
      </w:pPr>
      <w:r>
        <w:t xml:space="preserve">4. an das Bundesamt für Wirtschaft und Ausfuhrkontrolle zur Erfüllung seiner Aufgaben im Zusammenhang mit der Begrenzung der Umlagen nach Teil 4 Abschnitt 4 des Energiefinanzierungsgesetzes oder nach dem Kraft-Wärme-Kopplungsgesetz oder den dazu erlassenen Rechtsverordnungen.</w:t>
      </w:r>
    </w:p>
    <w:p>
      <w:r>
        <w:t xml:space="preserve">(2) Die Übertragungsnetzbetreiber, die Bundesnetzagentur, das Umweltbundesamt sowie das Bundesamt für Wirtschaft und Ausfuhrkontrolle dürfen Informationen, einschließlich personenbezogener Daten sowie Betriebs- und Geschäftsgeheimnisse, an die Generalzolldirektion und die Hauptzollämter übermitteln, soweit dies zur Durchführung eines Steuerverfahrens nach der Abgabenordnung, diesem Gesetz und der Stromsteuer-Durchführungsverordnung erforderlich ist.</w:t>
      </w:r>
    </w:p>
    <w:p>
      <w:r>
        <w:t xml:space="preserve">(3) Die Datenübermittlungen nach den Absätzen 1 und 2 dürfen auf Initiative der zur Übermittlung befugten Stellen und auf Ersuchen der Datenempfänger erfolgen.</w:t>
      </w:r>
    </w:p>
    <w:p>
      <w:r>
        <w:rPr>
          <w:color w:val="555555"/>
          <w:sz w:val="17"/>
        </w:rPr>
        <w:t xml:space="preserve">Zitiervorschlag: § 10a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