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4 StromPBG — (zu § 17 Nummer 1) Absicherungsgeschäfte, die vor dem 1. November 2022 abgeschlossen worden sind</w:t>
      </w:r>
    </w:p>
    <w:p>
      <w:r>
        <w:rPr>
          <w:color w:val="555555"/>
          <w:sz w:val="18"/>
        </w:rPr>
        <w:t xml:space="preserve">Strompreisbremsegesetz</w:t>
      </w:r>
    </w:p>
    <w:p>
      <w:r>
        <w:rPr>
          <w:color w:val="555555"/>
          <w:sz w:val="18"/>
        </w:rPr>
        <w:t xml:space="preserve">Stand: 24.12.2022 (konsolidierte Textfassung, kein amtliches Inkrafttretensdatum)</w:t>
      </w:r>
    </w:p>
    <w:p>
      <w:r>
        <w:t xml:space="preserve">(Fundstelle: BGBl. I 2022, 2545 - 2546)</w:t>
      </w:r>
    </w:p>
    <w:p>
      <w:r>
        <w:rPr>
          <w:rFonts w:ascii="Courier New" w:hAnsi="Courier New"/>
          <w:sz w:val="17"/>
        </w:rPr>
        <w:t xml:space="preserve">1.    Definitionen</w:t>
      </w:r>
    </w:p>
    <w:p>
      <w:r>
        <w:rPr>
          <w:rFonts w:ascii="Courier New" w:hAnsi="Courier New"/>
          <w:sz w:val="17"/>
        </w:rPr>
        <w:t xml:space="preserve">1.1    Ergebnis aus Absicherungsgeschäften im Sinn dieser Anlage ist das Fair Value Ergebnis von Absicherungsgeschäften für die geplante Einspeisung im Abrechnungszeitraum der Stromerzeugungsanlage aus Verträgen, die vor dem 1. November 2022 geschlossen wurden.</w:t>
      </w:r>
    </w:p>
    <w:p>
      <w:r>
        <w:rPr>
          <w:rFonts w:ascii="Courier New" w:hAnsi="Courier New"/>
          <w:sz w:val="17"/>
        </w:rPr>
        <w:t xml:space="preserve">1.2    Als geplant gilt die Planungsperspektive zum Zeitpunkt des Abschlusses des Absicherungsgeschäftes.</w:t>
      </w:r>
    </w:p>
    <w:p>
      <w:r>
        <w:rPr>
          <w:rFonts w:ascii="Courier New" w:hAnsi="Courier New"/>
          <w:sz w:val="17"/>
        </w:rPr>
        <w:t xml:space="preserve">1.3    Als Fair Value gilt der beizulegende Zeitwert, der als der Preis definiert ist, der in einem geordneten Geschäftsvorfall zwischen Marktteilnehmern am Bemessungsstichtag für den Verkauf eines Vermögenswerts eingenommen bzw. für die Übertragung einer Schuld gezahlt würde bzw. wird.</w:t>
      </w:r>
    </w:p>
    <w:p>
      <w:r>
        <w:rPr>
          <w:rFonts w:ascii="Courier New" w:hAnsi="Courier New"/>
          <w:sz w:val="17"/>
        </w:rPr>
        <w:t xml:space="preserve">2.    Ermittlung und Meldung der Ergebnisse</w:t>
      </w:r>
    </w:p>
    <w:p>
      <w:r>
        <w:rPr>
          <w:rFonts w:ascii="Courier New" w:hAnsi="Courier New"/>
          <w:sz w:val="17"/>
        </w:rPr>
        <w:t xml:space="preserve">2.1    Bei der Mitteilung nach § 29 Absatz 1 Nummer 4 Buchstabe a ist das Ergebnis aus Absicherungsgeschäften je Abrechnungszeitraum und je Stromerzeugungsanlage in Euro mitzuteilen.</w:t>
      </w:r>
    </w:p>
    <w:p>
      <w:r>
        <w:rPr>
          <w:rFonts w:ascii="Courier New" w:hAnsi="Courier New"/>
          <w:sz w:val="17"/>
        </w:rPr>
        <w:t xml:space="preserve">2.2    Dabei sind alle Absicherungsgeschäfte zu ermitteln und mitzuteilen, die nachweisbar zum Zwecke der Absicherung der Stromvermarktung (inklusive der Absicherung über Proxy-Hedges) oder der Kohlendioxid-Kosten eingegangen wurden und die nach den Bestimmungen dieser Anlage der jeweiligen Stromerzeugungsanlage für den Abrechnungszeitraum zuzuordnen sind und die Anforderungen nach dieser Anlage erfüllen.</w:t>
      </w:r>
    </w:p>
    <w:p>
      <w:r>
        <w:rPr>
          <w:rFonts w:ascii="Courier New" w:hAnsi="Courier New"/>
          <w:sz w:val="17"/>
        </w:rPr>
        <w:t xml:space="preserve">2.3    Es werden sowohl finanzielle als auch physische Geschäfte berücksichtigt. Alle zum Zwecke der Absicherung eingegangenen Geschäfte werden berücksichtigt. Es ist nicht notwendig, dass sie realisiert oder glattgestellt wurden. Insbesondere bei CO2-Zertifikate-Absicherungsgeschäften muss deren Ergebnis auch dann berücksichtigt werden, wenn diese zwar für die Stromerzeugung des Abrechnungszeitraums geplant waren, aber nicht realisiert wurden.</w:t>
      </w:r>
    </w:p>
    <w:p>
      <w:r>
        <w:rPr>
          <w:rFonts w:ascii="Courier New" w:hAnsi="Courier New"/>
          <w:sz w:val="17"/>
        </w:rPr>
        <w:t xml:space="preserve">2.4    Im Fall eines Absicherungsgeschäft mit mehreren Preiskomponenten (Festpreis, Kapazitätszahlung etc.) sind alle Komponenten zu berücksichtigen, mit dem Anteil, wie sie auf den Erfüllungszeitraum entfallen.</w:t>
      </w:r>
    </w:p>
    <w:p>
      <w:r>
        <w:rPr>
          <w:rFonts w:ascii="Courier New" w:hAnsi="Courier New"/>
          <w:sz w:val="17"/>
        </w:rPr>
        <w:t xml:space="preserve">3.    Methodik</w:t>
      </w:r>
    </w:p>
    <w:p>
      <w:r>
        <w:rPr>
          <w:rFonts w:ascii="Courier New" w:hAnsi="Courier New"/>
          <w:sz w:val="17"/>
        </w:rPr>
        <w:t xml:space="preserve">3.1    Die Abgrenzung von Absicherungsgeschäften zum Eigenhandel, die Zuordnung von Absicherungsgeschäften zur Stromerzeugung und damit die Abgrenzung zu anderen Geschäftsbereichen wie dem Vertrieb sowie die Zuordnung von Absicherungsgeschäften zu Abrechnungszeiträumen, Erzeugungstechnologien und Stromerzeugungsanlagen hat nach objektiv nachvollziehbaren Unternehmensregeln zu erfolgen, die dokumentiert und den Übertragungsnetzbetreibern in der Frist des § 29 Absatz 1 übermittelt werden.</w:t>
      </w:r>
    </w:p>
    <w:p>
      <w:r>
        <w:rPr>
          <w:rFonts w:ascii="Courier New" w:hAnsi="Courier New"/>
          <w:sz w:val="17"/>
        </w:rPr>
        <w:t xml:space="preserve">3.2    Soweit anwendbar, müssen diese Regeln den Grundsätzen des Risikomanagements und der bestehenden Buch-/Portfoliostruktur sowie den bis zum 31. Oktober 2022 durch den Betreiber der Stromerzeugungsanlage verwendeten Zuordnungsregeln entsprechen.</w:t>
      </w:r>
    </w:p>
    <w:p>
      <w:r>
        <w:rPr>
          <w:rFonts w:ascii="Courier New" w:hAnsi="Courier New"/>
          <w:sz w:val="17"/>
        </w:rPr>
        <w:t xml:space="preserve">3.3    Alle Zuordnungsregeln müssen über den gesamten zeitlichen Anwendungsbereich des Teils 3 konsistent angewendet werden. Maßgeblich ist die Methodik, die bei der ersten Meldung dargelegt und begründet worden ist.</w:t>
      </w:r>
    </w:p>
    <w:p>
      <w:r>
        <w:rPr>
          <w:rFonts w:ascii="Courier New" w:hAnsi="Courier New"/>
          <w:sz w:val="17"/>
        </w:rPr>
        <w:t xml:space="preserve">4.    Weitere Maßgaben</w:t>
      </w:r>
    </w:p>
    <w:p>
      <w:r>
        <w:rPr>
          <w:rFonts w:ascii="Courier New" w:hAnsi="Courier New"/>
          <w:sz w:val="17"/>
        </w:rPr>
        <w:t xml:space="preserve">4.1    Absicherungsgeschäfte innerhalb des Unternehmens oder mit Unternehmen nach § 15 dürfen nicht berücksichtigt werden. In diesem Fall sind Absicherungsgeschäfte dieser Parteien mit Dritten dem Betreiber der Stromerzeugungsanlage zuzurechnen, soweit eine klare Zuordnung anhand der Bestimmungen dieser Anlage zu der Erzeugung der Stromerzeugungsanlage möglich ist.</w:t>
      </w:r>
    </w:p>
    <w:p>
      <w:r>
        <w:rPr>
          <w:rFonts w:ascii="Courier New" w:hAnsi="Courier New"/>
          <w:sz w:val="17"/>
        </w:rPr>
        <w:t xml:space="preserve">4.2    Eigenhandel muss von Absicherungsgeschäften abgegrenzt sein; letztere müssen objektiv messbar und abgrenzbar dazu dienen, die wirtschaftlichen Risiken der Stromerzeugung aus der Stromerzeugungsanlage abzusichern und zu reduzieren und eindeutig und abgrenzbar zu diesem Zweck abgeschlossen worden sein.</w:t>
      </w:r>
    </w:p>
    <w:p>
      <w:r>
        <w:rPr>
          <w:rFonts w:ascii="Courier New" w:hAnsi="Courier New"/>
          <w:sz w:val="17"/>
        </w:rPr>
        <w:t xml:space="preserve">4.3    Die Zuordnung von Emissionsberechtigungen (EUA) oder Absicherungsgeschäften, die der Absicherung der Kosten für EUA dienen, zu Quartalen erfolgt nach dem durchschnittlichen Preis aller EUA oder entsprechender vertraglicher Absicherungspreise, die vor dem 1. November 2022 beschafft oder abgeschlossen worden sind. Die Zuordnung auf einzelne Stromerzeugungsanlagen erfolgt entsprechend zur Zuordnung der Absicherungsgeschäfte, jedoch korrigiert um die Kohlendioxid-Intensität der entsprechenden Stromerzeugung.</w:t>
      </w:r>
    </w:p>
    <w:p>
      <w:r>
        <w:rPr>
          <w:rFonts w:ascii="Courier New" w:hAnsi="Courier New"/>
          <w:sz w:val="17"/>
        </w:rPr>
        <w:t xml:space="preserve">4.4    Anlagenbezogene Vermarktungsverträge gelten nicht als Absicherungsgeschäft im Sinn dieser Anlage.</w:t>
      </w:r>
    </w:p>
    <w:p>
      <w:r>
        <w:rPr>
          <w:rFonts w:ascii="Courier New" w:hAnsi="Courier New"/>
          <w:sz w:val="17"/>
        </w:rPr>
        <w:t xml:space="preserve">4.5    Die Summe des den Meldungen nach dieser Anlage und Anlage 5 zugrundeliegenden Volumens an Absicherungsgeschäften darf die erwartete Erzeugung in keinem Kalendermonat überschreiten und darf in keiner Stunde die maximal technisch mögliche Stromerzeugung überschreiten.</w:t>
      </w:r>
    </w:p>
    <w:p>
      <w:r>
        <w:rPr>
          <w:rFonts w:ascii="Courier New" w:hAnsi="Courier New"/>
          <w:sz w:val="17"/>
        </w:rPr>
        <w:t xml:space="preserve">4.6    Soweit bei einem Betreiber mehrerer Stromerzeugungsanlagen vor dem 1. November 2022 keine eindeutige Zuordnung von Absicherungsgeschäften des Erzeugungsportfolios zu einzelnen Erzeugungsanlagen des Portfolios dokumentiert ist, erfolgt die Zuordnung nach den im Folgenden dargestellten typischen Einsatzstunden von Stromerzeugungs-Technologien:</w:t>
      </w:r>
    </w:p>
    <w:p>
      <w:r>
        <w:rPr>
          <w:rFonts w:ascii="Courier New" w:hAnsi="Courier New"/>
          <w:sz w:val="17"/>
        </w:rPr>
        <w:t xml:space="preserve">            Typische Einsatzstundenvon Stromerzeugungs-Technologien pro Jahr    </w:t>
      </w:r>
    </w:p>
    <w:p>
      <w:r>
        <w:rPr>
          <w:rFonts w:ascii="Courier New" w:hAnsi="Courier New"/>
          <w:sz w:val="17"/>
        </w:rPr>
        <w:t xml:space="preserve">        Braunkohle    6 120    </w:t>
      </w:r>
    </w:p>
    <w:p>
      <w:r>
        <w:rPr>
          <w:rFonts w:ascii="Courier New" w:hAnsi="Courier New"/>
          <w:sz w:val="17"/>
        </w:rPr>
        <w:t xml:space="preserve">        Steinkohle    3 684    </w:t>
      </w:r>
    </w:p>
    <w:p>
      <w:r>
        <w:rPr>
          <w:rFonts w:ascii="Courier New" w:hAnsi="Courier New"/>
          <w:sz w:val="17"/>
        </w:rPr>
        <w:t xml:space="preserve">        Kernenergie    8 061    </w:t>
      </w:r>
    </w:p>
    <w:p>
      <w:r>
        <w:rPr>
          <w:rFonts w:ascii="Courier New" w:hAnsi="Courier New"/>
          <w:sz w:val="17"/>
        </w:rPr>
        <w:t xml:space="preserve">        Erdgas-Gasturbinen ohne Kraft-Wärme-Kopplung    400    </w:t>
      </w:r>
    </w:p>
    <w:p>
      <w:r>
        <w:rPr>
          <w:rFonts w:ascii="Courier New" w:hAnsi="Courier New"/>
          <w:sz w:val="17"/>
        </w:rPr>
        <w:t xml:space="preserve">        Erdgas (alle anderen)    3 185    </w:t>
      </w:r>
    </w:p>
    <w:p>
      <w:r>
        <w:rPr>
          <w:rFonts w:ascii="Courier New" w:hAnsi="Courier New"/>
          <w:sz w:val="17"/>
        </w:rPr>
        <w:t xml:space="preserve">        Mineralöl    1 420    </w:t>
      </w:r>
    </w:p>
    <w:p>
      <w:r>
        <w:rPr>
          <w:rFonts w:ascii="Courier New" w:hAnsi="Courier New"/>
          <w:sz w:val="17"/>
        </w:rPr>
        <w:t xml:space="preserve">        Wind onshore    1 564    </w:t>
      </w:r>
    </w:p>
    <w:p>
      <w:r>
        <w:rPr>
          <w:rFonts w:ascii="Courier New" w:hAnsi="Courier New"/>
          <w:sz w:val="17"/>
        </w:rPr>
        <w:t xml:space="preserve">        Wind offshore    3 089    </w:t>
      </w:r>
    </w:p>
    <w:p>
      <w:r>
        <w:rPr>
          <w:rFonts w:ascii="Courier New" w:hAnsi="Courier New"/>
          <w:sz w:val="17"/>
        </w:rPr>
        <w:t xml:space="preserve">        Wasserkraft    3 880    </w:t>
      </w:r>
    </w:p>
    <w:p>
      <w:r>
        <w:rPr>
          <w:rFonts w:ascii="Courier New" w:hAnsi="Courier New"/>
          <w:sz w:val="17"/>
        </w:rPr>
        <w:t xml:space="preserve">        Biomasse    4 409    </w:t>
      </w:r>
    </w:p>
    <w:p>
      <w:r>
        <w:rPr>
          <w:rFonts w:ascii="Courier New" w:hAnsi="Courier New"/>
          <w:sz w:val="17"/>
        </w:rPr>
        <w:t xml:space="preserve">        Photovoltaik    827    </w:t>
      </w:r>
    </w:p>
    <w:p>
      <w:r>
        <w:rPr>
          <w:rFonts w:ascii="Courier New" w:hAnsi="Courier New"/>
          <w:sz w:val="17"/>
        </w:rPr>
        <w:t xml:space="preserve">        Geothermie    3 439    </w:t>
      </w:r>
    </w:p>
    <w:p>
      <w:r>
        <w:rPr>
          <w:rFonts w:ascii="Courier New" w:hAnsi="Courier New"/>
          <w:sz w:val="17"/>
        </w:rPr>
        <w:t xml:space="preserve">        Sonstige (inkl. regenerativer und fossiler Anteil des Mülls, Grubengas und sonstige Energieträger wie Gichtgase)    3 914    </w:t>
      </w:r>
    </w:p>
    <w:p>
      <w:r>
        <w:rPr>
          <w:color w:val="555555"/>
          <w:sz w:val="17"/>
        </w:rPr>
        <w:t xml:space="preserve">Zitiervorschlag: Anlage 4 StromPBG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https://recht.nulegal.eu/gesetze/StromPBG/anlage-4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