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StromPBG — Lieferantenwechsel</w:t>
      </w:r>
    </w:p>
    <w:p>
      <w:r>
        <w:rPr>
          <w:color w:val="555555"/>
          <w:sz w:val="18"/>
        </w:rPr>
        <w:t xml:space="preserve">Strompreisbremsegesetz</w:t>
      </w:r>
    </w:p>
    <w:p>
      <w:r>
        <w:rPr>
          <w:color w:val="555555"/>
          <w:sz w:val="18"/>
        </w:rPr>
        <w:t xml:space="preserve">Stand: 03.08.2023 (konsolidierte Textfassung, kein amtliches Inkrafttretensdatum)</w:t>
      </w:r>
    </w:p>
    <w:p>
      <w:r>
        <w:t xml:space="preserve">Bei einem Wechsel des eine Netzentnahmestelle beliefernden Elektrizitätsversorgungsunternehmens im Kalenderjahr 2023</w:t>
      </w:r>
    </w:p>
    <w:p>
      <w:pPr>
        <w:ind w:left="420"/>
      </w:pPr>
      <w:r>
        <w:t xml:space="preserve">1. sind die in eine nach § 5 Absatz 2 Satz 2 Nummer 2 Buchstabe b erfolgte Schätzung eingeflossenen Ergebnisse auch für den neuen Lieferanten verbindlich,</w:t>
      </w:r>
    </w:p>
    <w:p>
      <w:pPr>
        <w:ind w:left="420"/>
      </w:pPr>
      <w:r>
        <w:t xml:space="preserve">2. ist eine nach § 6 Satz 4 getroffene Vereinbarung zwischen dem Letztverbraucher und dem ursprünglichen Elektrizitätsversorgungsunternehmen für den Zeitraum, in dem das ursprüngliche Elektrizitätsversorgungsunternehmen die Netzentnahmestelle beliefert hat, auch für das neue Elektrizitätsversorgungsunternehmen verbindlich und</w:t>
      </w:r>
    </w:p>
    <w:p>
      <w:pPr>
        <w:ind w:left="420"/>
      </w:pPr>
      <w:r>
        <w:t xml:space="preserve">3. dürfen dem Letztverbraucher Entlastungsbeträge von dem neuen Elektrizitätsversorgungsunternehmen erst gewährt werden, wenn der Letztverbraucher dem neuen Elektrizitätsversorgungsunternehmen die Abrechnung des ursprünglichen Elektrizitätsversorgungsunternehmens vorgelegt hat oder anderweitig sichergestellt wird, dass die neuen Entlastungsbeträge ein Entlastungskontingent zugrunde legen, welches dem Letztverbraucher zusteht.</w:t>
      </w:r>
    </w:p>
    <w:p>
      <w:r>
        <w:rPr>
          <w:color w:val="555555"/>
          <w:sz w:val="17"/>
        </w:rPr>
        <w:t xml:space="preserve">Zitiervorschlag: § 8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