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StromPBG — Entlastungskontingent</w:t>
      </w:r>
    </w:p>
    <w:p>
      <w:r>
        <w:rPr>
          <w:color w:val="555555"/>
          <w:sz w:val="18"/>
        </w:rPr>
        <w:t xml:space="preserve">Strompreisbremsegesetz</w:t>
      </w:r>
    </w:p>
    <w:p>
      <w:r>
        <w:rPr>
          <w:color w:val="555555"/>
          <w:sz w:val="18"/>
        </w:rPr>
        <w:t xml:space="preserve">Stand: 03.08.2023 (konsolidierte Textfassung, kein amtliches Inkrafttretensdatum)</w:t>
      </w:r>
    </w:p>
    <w:p>
      <w:r>
        <w:t xml:space="preserve">Der Differenzbetrag nach § 5 wird gewährt für ein Entlastungskontingent. Dieses beträgt pro Kalendermonat für</w:t>
      </w:r>
    </w:p>
    <w:p>
      <w:pPr>
        <w:ind w:left="420"/>
      </w:pPr>
      <w:r>
        <w:t xml:space="preserve">1. Netzentnahmestellen, für die der Referenzpreis nach § 5 Absatz 2 Satz 1 Nummer 1 oder Absatz 3 anzuwenden ist, 80 Prozent</w:t>
      </w:r>
    </w:p>
    <w:p>
      <w:pPr>
        <w:ind w:left="780"/>
      </w:pPr>
      <w:r>
        <w:t xml:space="preserve">a) im Fall von Netzentnahmestellen, die über standardisierte Lastprofile bilanziert werden, der aktuellen dem Elektrizitätsversorgungsunternehmen vorliegenden Jahresverbrauchsprognose für die Netzentnahmestelle geteilt durch zwölf oder</w:t>
      </w:r>
    </w:p>
    <w:p>
      <w:pPr>
        <w:ind w:left="780"/>
      </w:pPr>
      <w:r>
        <w:t xml:space="preserve">b) im Fall von Netzentnahmestellen, die nicht über standardisierte Lastprofile beliefert werden, der Netzentnahme,</w:t>
      </w:r>
    </w:p>
    <w:p>
      <w:pPr>
        <w:ind w:left="1140"/>
      </w:pPr>
      <w:r>
        <w:t xml:space="preserve">aa) die der zuständige Messstellenbetreiber für das Kalenderjahr 2021 gemessen oder anderweitig festgestellt hat, geteilt durch zwölf, oder</w:t>
      </w:r>
    </w:p>
    <w:p>
      <w:pPr>
        <w:ind w:left="1140"/>
      </w:pPr>
      <w:r>
        <w:t xml:space="preserve">bb) die nach § 5 Absatz 2 Satz 2 Nummer 2 Buchstabe b geschätzt wurde, geteilt durch zwölf,</w:t>
      </w:r>
    </w:p>
    <w:p>
      <w:pPr>
        <w:ind w:left="420"/>
      </w:pPr>
      <w:r>
        <w:t xml:space="preserve">2. Netzentnahmestellen, für die der Referenzpreis nach § 5 Absatz 2 Satz 1 Nummer 2 anzuwenden ist, 70 Prozent</w:t>
      </w:r>
    </w:p>
    <w:p>
      <w:pPr>
        <w:ind w:left="780"/>
      </w:pPr>
      <w:r>
        <w:t xml:space="preserve">a) im Fall von Netzentnahmestellen, die über standardisierte Lastprofile bilanziert werden, der aktuellen dem Elektrizitätsversorgungsunternehmen vorliegenden Jahresverbrauchsprognose für die Netzentnahmestelle geteilt durch zwölf oder</w:t>
      </w:r>
    </w:p>
    <w:p>
      <w:pPr>
        <w:ind w:left="780"/>
      </w:pPr>
      <w:r>
        <w:t xml:space="preserve">b) im Fall von Netzentnahmestellen, die nicht über standardisierte Lastprofile beliefert werden, der Netzentnahme,</w:t>
      </w:r>
    </w:p>
    <w:p>
      <w:pPr>
        <w:ind w:left="1140"/>
      </w:pPr>
      <w:r>
        <w:t xml:space="preserve">aa) die der zuständige Messstellenbetreiber für den Zeitraum zwischen dem 1. Januar und dem 31. Dezember 2021 gemessen oder anderweitig festgestellt hat, geteilt durch zwölf, oder</w:t>
      </w:r>
    </w:p>
    <w:p>
      <w:pPr>
        <w:ind w:left="1140"/>
      </w:pPr>
      <w:r>
        <w:t xml:space="preserve">bb) die nach § 5 Absatz 2 Satz 2 Nummer 2 Buchstabe b geschätzt wurde, geteilt durch zwölf,</w:t>
      </w:r>
    </w:p>
    <w:p>
      <w:pPr>
        <w:ind w:left="420"/>
      </w:pPr>
      <w:r>
        <w:t xml:space="preserve">3. Netzentnahmestellen von Schienenbahnen 90 Prozent der Netzentnahme, die abzüglich der rückgespeisten Energie unmittelbar für den Fahrbetrieb im Schienenverkehr</w:t>
      </w:r>
    </w:p>
    <w:p>
      <w:pPr>
        <w:ind w:left="780"/>
      </w:pPr>
      <w:r>
        <w:t xml:space="preserve">a) im Kalenderjahr 2021 von der Schienenbahn selbst verbraucht wurde geteilt durch zwölf, oder</w:t>
      </w:r>
    </w:p>
    <w:p>
      <w:pPr>
        <w:ind w:left="780"/>
      </w:pPr>
      <w:r>
        <w:t xml:space="preserve">b) für das Kalenderjahr 2023 aufgrund der aktuellen dem Elektrizitätsversorgungsunternehmen vorliegenden Jahresverbrauchsprognose geteilt durch zwölf prognostiziert wurde.</w:t>
      </w:r>
    </w:p>
    <w:p>
      <w:r>
        <w:t xml:space="preserve">Für Netzentnahmestellen nach Satz 2 Nummer 1 Buchstabe a, an denen während des Entlastungszeitraums eine elektrisch angetriebene Wärmepumpe oder eine Ladeeinrichtung für Elektrofahrzeuge in Betrieb genommen wird, die ohne eigenen Zählpunkt mit dem Netz verbunden ist, ist bei der Ermittlung des Entlastungskontingents eine angepasste Jahresverbrauchsprognose nach § 13 Absatz 1 der Stromnetzzugangsverordnung für den verbleibenden Entlastungszeitraum zugrunde zu legen, wenn der Betreiber der Wärmepumpe oder der Ladeeinrichtung die Verwendung dieses zusätzlichen Verbrauchsgeräts dem Betreiber des Elektrizitätsverteilernetzes nach § 19 Absatz 2 Satz 1 oder Satz 2 der Niederspannungsanschlussverordnung mitgeteilt hat. Elektrizitätsversorgungsunternehmen und Letztverbraucher können einvernehmlich eine von Satz 2 abweichende monatliche Verteilung des Jahreskontingents in den Fällen des § 5 Absatz 2 Satz 2 Nummer 2 mit Wirkung für den verbleibenden Entlastungszeitraum vereinbaren.</w:t>
      </w:r>
    </w:p>
    <w:p>
      <w:r>
        <w:rPr>
          <w:color w:val="555555"/>
          <w:sz w:val="17"/>
        </w:rPr>
        <w:t xml:space="preserve">Zitiervorschlag: § 6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