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48 StromPBG — Weitere Verordnungsermächtigungen</w:t>
      </w:r>
    </w:p>
    <w:p>
      <w:r>
        <w:rPr>
          <w:color w:val="555555"/>
          <w:sz w:val="18"/>
        </w:rPr>
        <w:t xml:space="preserve">Strompreisbremsegesetz</w:t>
      </w:r>
    </w:p>
    <w:p>
      <w:r>
        <w:rPr>
          <w:color w:val="555555"/>
          <w:sz w:val="18"/>
        </w:rPr>
        <w:t xml:space="preserve">Stand: 24.12.2025 (konsolidierte Textfassung, kein amtliches Inkrafttretensdatum)</w:t>
      </w:r>
    </w:p>
    <w:p>
      <w:r>
        <w:t xml:space="preserve">(1) Das Bundesministerium für Wirtschaft und Energie wird ermächtigt, im Einvernehmen mit dem Bundesministerium der Finanzen durch Rechtsverordnung ohne Zustimmung des Bundesrates</w:t>
      </w:r>
    </w:p>
    <w:p>
      <w:pPr>
        <w:ind w:left="420"/>
      </w:pPr>
      <w:r>
        <w:t xml:space="preserve">1. eine Bundesbehörde zu bestimmen, die alle oder einen Teil der Aufgaben wahrnimmt, die in diesem Gesetz oder im Erdgas-Wärme-Preisbremsengesetz der Prüfbehörde zugewiesen sind,</w:t>
      </w:r>
    </w:p>
    <w:p>
      <w:pPr>
        <w:ind w:left="420"/>
      </w:pPr>
      <w:r>
        <w:t xml:space="preserve">1a. eine Bundesbehörde zu bestimmen, die anstelle der Prüfbehörde in den Fällen des § 43 Absatz 4 Nummer 3 dieses Gesetzes oder des § 38 Absatz 4 des Erdgas-Wärme-Preisbremsengesetzes Verwaltungsbehörde im Sinne des § 36 Absatz 1 Nummer 1 des Gesetzes über Ordnungswidrigkeiten wird,</w:t>
      </w:r>
    </w:p>
    <w:p>
      <w:pPr>
        <w:ind w:left="420"/>
      </w:pPr>
      <w:r>
        <w:t xml:space="preserve">2. die Berechnung des Differenzbetrags nach § 5 Absatz 1 unter dessen Voraussetzungen anzupassen und die hierfür erforderlichen Bestimmungen zu regeln, wobei es zwischen verschiedenen Gruppen von Letztverbrauchern und Kunden unterscheiden kann; die Anpassung kann auf Entnahmestellen begrenzt werden, für die die Höchstgrenze nach § 9 Absatz 1 Satz 1 Nummer 2 Buchstabe a oder § 9 Absatz 1 Satz 1 Nummer 1 anzuwenden ist; die Anpassung nach Satz 1 soll sobald wie möglich und spätestens bis zum 15. März 2023 erfolgen; die Anpassung soll regelmäßig überprüft werden, um die Erreichung der in § 5 Absatz 1 Satz 2 genannten Ziele zu gewährleisten; in diesem Fall kann die Anpassung insbesondere so erfolgen, dass sie die aktuelle Entwicklung der Marktpreise besser widerspiegelt,</w:t>
      </w:r>
    </w:p>
    <w:p>
      <w:pPr>
        <w:ind w:left="420"/>
      </w:pPr>
      <w:r>
        <w:t xml:space="preserve">3. abweichend oder zusätzlich zu den Nachweisvorgaben nach § 11 Absatz 2 dieses Gesetzes und nach § 19 Absatz 2 des Erdgas-Wärme-Preisbremsengesetzes weitere Vorgaben zu den im Rahmen des Verfahrens nach § 11 dieses Gesetzes und nach § 19 des Erdgas-Wärme-Preisbremsengesetzes beizubringenden Nachweisen näher zu bestimmen,</w:t>
      </w:r>
    </w:p>
    <w:p>
      <w:pPr>
        <w:ind w:left="420"/>
      </w:pPr>
      <w:r>
        <w:t xml:space="preserve">4. näher zu bestimmen und auszugestalten:</w:t>
      </w:r>
    </w:p>
    <w:p>
      <w:pPr>
        <w:ind w:left="780"/>
      </w:pPr>
      <w:r>
        <w:t xml:space="preserve">a) das Verfahren, nach dem die Prüfbehörde die Geltendmachung der Rückforderungsansprüche und die Korrektur der Entlastungen nach § 11 Absatz 7 dieses Gesetzes und § 19 Absatz 7 des Erdgas-Wärme-Preisbremsengesetzes anordnet, sowie Vorgaben zum Inhalt der Anordnung in Bezug auf die gerichtliche oder außergerichtliche Geltendmachung der Rückforderungsansprüche durch Lieferanten oder Elektrizitätsversorgungsunternehmen,</w:t>
      </w:r>
    </w:p>
    <w:p>
      <w:pPr>
        <w:ind w:left="780"/>
      </w:pPr>
      <w:r>
        <w:t xml:space="preserve">b) Vorgaben, nach denen ein Lieferant oder Elektrizitätsversorgungsunternehmen einen Rückforderungsanspruch nach § 12 Absatz 2a oder Absatz 4 dieses Gesetzes oder § 20 Absatz 1a oder Absatz 3 des Erdgas-Wärme-Preisbremsengesetzes außergerichtlich sowie gerichtlich geltend macht, hiermit verbundene Rechtsfolgen, die an die Verletzung dieser Vorgaben geknüpft sind, sowie Vorgaben zur Stellung eines Antrags durch den Lieferanten oder das Elektrizitätsversorgungsunternehmen zur Eröffnung eines Insolvenzverfahrens gegen den Letztverbraucher oder Kunden,</w:t>
      </w:r>
    </w:p>
    <w:p>
      <w:pPr>
        <w:ind w:left="780"/>
      </w:pPr>
      <w:r>
        <w:t xml:space="preserve">c) das Verfahren, nach dem die Prüfbehörde nach § 11 Absatz 10 Satz 1 dieses Gesetzes und § 19 Absatz 10 Satz 1 des Erdgas-Wärme-Preisbremsengesetzes einen Letztverbraucher oder Kunde auffordert, die die jeweiligen Höchstgrenzen übersteigenden Entlastungen an die Prüfbehörde oder den Bund auszukehren, insbesondere ob die Aufforderung durch Verwaltungsakt oder auf zivilrechtlichem Weg zu erfolgen hat,</w:t>
      </w:r>
    </w:p>
    <w:p>
      <w:pPr>
        <w:ind w:left="780"/>
      </w:pPr>
      <w:r>
        <w:t xml:space="preserve">d) das Verfahren, nach dem ein Letztverbraucher oder Kunde die die jeweiligen Höchstgrenzen übersteigenden Entlastungen auf Basis einer Aufforderung nach § 11 Absatz 10 Satz 1 dieses Gesetzes und § 19 Absatz 10 Satz 1 des Erdgas-Wärme-Preisbremsengesetzes an die Prüfbehörde oder den Bund auskehrt, Vorgaben zur außergerichtlichen und gerichtlichen Geltendmachung des Auskehrverlangens, Vorgaben zu den Rechtsfolgen, sofern ein Letztverbraucher oder Kunde die Entlastungen auskehrt, sowie Vorgaben zur Stellung eines Antrags durch die Prüfbehörde zur Eröffnung eines Insolvenzverfahrens gegen den Letztverbraucher oder Kunden.</w:t>
      </w:r>
    </w:p>
    <w:p>
      <w:pPr>
        <w:ind w:left="420"/>
      </w:pPr>
      <w:r>
        <w:t xml:space="preserve">4a. zu bestimmen, wie und unter welchen Voraussetzungen ein nach § 12 Absatz 2a dieses Gesetzes oder § 20 Absatz 1a des Erdgas-Wärme-Preisbremsengesetzes bestehender Rückforderungsanspruch des Elektrizitätsversorgungsunternehmens oder des Lieferanten durch oder aufgrund der Rechtsverordnung auf die Prüfbehörde oder den Bund übergeht, sowie nähere Regelungen zum Verfahren des Forderungsübergangs, einschließlich einer möglichen Anzeige des Forderungsübergangs gegenüber dem Schuldner, zur Art und Weise der Rückforderung, insbesondere ob die Rückforderung durch Verwaltungsakt oder auf zivilrechtlichem Weg zu erfolgen hat, zur Berechtigung und Verpflichtung der Prüfbehörde, im Falle des Forderungsübergangs auf den Bund für diesen außergerichtlich und gerichtlich zurückzufordern und zu vollstrecken, sowie in Vertretung für den Bund einen Antrag zur Eröffnung eines Insolvenzverfahrens gegen den Letztverbraucher oder Kunden zu stellen, und zu den mit dem Forderungsübergang verbundenen Rechtsfolgen zu erlassen.</w:t>
      </w:r>
    </w:p>
    <w:p>
      <w:pPr>
        <w:ind w:left="420"/>
      </w:pPr>
      <w:r>
        <w:t xml:space="preserve">5. nähere Bestimmungen zur Umsetzung der Vereinbarung nach § 27 Absatz 4 Satz 2 zu regeln und</w:t>
      </w:r>
    </w:p>
    <w:p>
      <w:pPr>
        <w:ind w:left="420"/>
      </w:pPr>
      <w:r>
        <w:t xml:space="preserve">6. zu regeln, dass Teil 3 abweichend von § 13 Absatz 3 Nummer 1 auch auf Strom aus Stromerzeugungsanlagen anzuwenden ist, die Strom ausschließlich oder ganz überwiegend auf der Basis von Steinkohle erzeugen; hierbei ist</w:t>
      </w:r>
    </w:p>
    <w:p>
      <w:pPr>
        <w:ind w:left="780"/>
      </w:pPr>
      <w:r>
        <w:t xml:space="preserve">a) ein technologiespezifischer Wert im Sinn des § 16 Absatz 1 zu bestimmen,</w:t>
      </w:r>
    </w:p>
    <w:p>
      <w:pPr>
        <w:ind w:left="780"/>
      </w:pPr>
      <w:r>
        <w:t xml:space="preserve">b) die Entwicklung der Strompreise und der Preise für Steinkohle und Gas angemessen zu berücksichtigen und</w:t>
      </w:r>
    </w:p>
    <w:p>
      <w:pPr>
        <w:ind w:left="780"/>
      </w:pPr>
      <w:r>
        <w:t xml:space="preserve">c) sicherzustellen, dass die Abschöpfung der Überschusserlöse nicht zu einem Mehrverbrauch von Gas in der Stromerzeugung führt, und</w:t>
      </w:r>
    </w:p>
    <w:p>
      <w:pPr>
        <w:ind w:left="420"/>
      </w:pPr>
      <w:r>
        <w:t xml:space="preserve">7. ergänzende oder abweichende Bestimmungen zu den Anlagen 4 und 5 zu erlassen.</w:t>
      </w:r>
    </w:p>
    <w:p>
      <w:r>
        <w:t xml:space="preserve">(2) Die Rechtsverordnung aufgrund des Absatzes 1 Nummer 2 bedarf der Zustimmung des Bundestages. Der Bundestag kann seine Zustimmung davon abhängig machen, dass seine Änderungswünsche übernommen werden. Übernimmt der Verordnungsgeber die Änderungen, ist eine erneute Beschlussfassung durch den Bundestag nicht erforderlich. Hat sich der Bundestag nach Ablauf von drei Sitzungswochen seit Eingang der Rechtsverordnung nicht abschließend mit ihr befasst, gilt seine Zustimmung zu der unveränderten Rechtsverordnung als erteilt.</w:t>
      </w:r>
    </w:p>
    <w:p>
      <w:r>
        <w:rPr>
          <w:color w:val="555555"/>
          <w:sz w:val="17"/>
        </w:rPr>
        <w:t xml:space="preserve">Zitiervorschlag: § 48 StromPBG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https://recht.nulegal.eu/gesetze/StromPBG/48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