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StromPBG — Verordnungsermächtigung zum Anwendungsbereich</w:t>
      </w:r>
    </w:p>
    <w:p>
      <w:r>
        <w:rPr>
          <w:color w:val="555555"/>
          <w:sz w:val="18"/>
        </w:rPr>
        <w:t xml:space="preserve">Strompreisbremsegesetz</w:t>
      </w:r>
    </w:p>
    <w:p>
      <w:r>
        <w:rPr>
          <w:color w:val="555555"/>
          <w:sz w:val="18"/>
        </w:rPr>
        <w:t xml:space="preserve">Stand: 24.12.2022 (konsolidierte Textfassung, kein amtliches Inkrafttretensdatum)</w:t>
      </w:r>
    </w:p>
    <w:p>
      <w:r>
        <w:t xml:space="preserve">(1) Die Bundesregierung wird ermächtigt, durch Rechtsverordnung ohne Zustimmung des Bundesrates</w:t>
      </w:r>
    </w:p>
    <w:p>
      <w:pPr>
        <w:ind w:left="420"/>
      </w:pPr>
      <w:r>
        <w:t xml:space="preserve">1. den zeitlichen Anwendungsbereich des Teils 2 bis zum 30. April 2024 zu verlängern und die hierfür erforderlichen Bestimmungen zu regeln, wobei sie zwischen verschiedenen Gruppen von Letztverbrauchern unterscheiden kann, dabei kann sie insbesondere</w:t>
      </w:r>
    </w:p>
    <w:p>
      <w:pPr>
        <w:ind w:left="780"/>
      </w:pPr>
      <w:r>
        <w:t xml:space="preserve">a) die Berechnung der krisenbedingten Energiemehrkosten nach § 2 Nummer 11 und Anlage 1, die Höhe und Berechnung des Differenzbetrags nach § 5, des Entlastungskontingents nach § 6 und der Höchstgrenzen nach § 9 neu bestimmen, soweit dies für die beihilferechtliche Genehmigung der Entlastung erforderlich ist, und</w:t>
      </w:r>
    </w:p>
    <w:p>
      <w:pPr>
        <w:ind w:left="780"/>
      </w:pPr>
      <w:r>
        <w:t xml:space="preserve">b) die erforderlichen Nachweis-, Informations- und Mitteilungspflichten regeln,</w:t>
      </w:r>
    </w:p>
    <w:p>
      <w:pPr>
        <w:ind w:left="420"/>
      </w:pPr>
      <w:r>
        <w:t xml:space="preserve">2. den zeitlichen Anwendungsbereich des Teils 3 abweichend von § 13 Absatz 1 zu regeln und unter Beachtung der Voraussetzungen des § 13 Absatz 2 Satz 3 und der Höchstdauer nach § 13 Absatz 2 Satz 4 zu bestimmen, dass Teil 3 auch anzuwenden ist auf</w:t>
      </w:r>
    </w:p>
    <w:p>
      <w:pPr>
        <w:ind w:left="780"/>
      </w:pPr>
      <w:r>
        <w:t xml:space="preserve">a) Strommengen, die nach dem 30. Juni 2023 im Bundesgebiet erzeugt wurden, oder</w:t>
      </w:r>
    </w:p>
    <w:p>
      <w:pPr>
        <w:ind w:left="780"/>
      </w:pPr>
      <w:r>
        <w:t xml:space="preserve">b) Absicherungsgeschäfte, die nach dem 30. Juni 2023 im Bundesgebiet ganz oder teilweise erfüllt werden müssen;</w:t>
      </w:r>
    </w:p>
    <w:p>
      <w:pPr>
        <w:ind w:left="420"/>
      </w:pPr>
      <w:r>
        <w:t xml:space="preserve">im Fall einer Verlängerung des zeitlichen Anwendungsbereichs über den 31. Dezember 2023 hinaus kann die Bundesregierung in dieser Verordnung auch die Werte neu bestimmen, bei deren Überschreitung Überschusserlöse im Sinn des § 16 Absatz 1 vorliegen; für Stromerzeugungsanlagen, die Strom auf der Basis von Abfall erzeugen, müssen neue Werte bestimmt werden.</w:t>
      </w:r>
    </w:p>
    <w:p>
      <w:r>
        <w:t xml:space="preserve">(2) Die Rechtsverordnungen aufgrund des Absatzes 1 bedürfen der Zustimmung des Bundestages. Der Bundestag kann seine Zustimmung davon abhängig machen, dass seine Änderungswünsche übernommen werden. Übernimmt der Verordnungsgeber die Änderungen, ist eine erneute Beschlussfassung durch den Bundestag nicht erforderlich. Hat sich der Bundestag nach Ablauf von drei Sitzungswochen seit Eingang der Rechtsverordnung nicht abschließend mit ihr befasst, gilt seine Zustimmung zu der unveränderten Rechtsverordnung als erteilt.</w:t>
      </w:r>
    </w:p>
    <w:p>
      <w:r>
        <w:rPr>
          <w:color w:val="555555"/>
          <w:sz w:val="17"/>
        </w:rPr>
        <w:t xml:space="preserve">Zitiervorschlag: § 47 StromPBG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https://recht.nulegal.eu/gesetze/StromPBG/47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