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StromPBG — Weitere Aufgaben und Aufsicht der Prüfbehörde</w:t>
      </w:r>
    </w:p>
    <w:p>
      <w:r>
        <w:rPr>
          <w:color w:val="555555"/>
          <w:sz w:val="18"/>
        </w:rPr>
        <w:t xml:space="preserve">Strompreisbremsegesetz</w:t>
      </w:r>
    </w:p>
    <w:p>
      <w:r>
        <w:rPr>
          <w:color w:val="555555"/>
          <w:sz w:val="18"/>
        </w:rPr>
        <w:t xml:space="preserve">Stand: 24.12.2025 (konsolidierte Textfassung, kein amtliches Inkrafttretensdatum)</w:t>
      </w:r>
    </w:p>
    <w:p>
      <w:r>
        <w:t xml:space="preserve">(1) Die Prüfbehörde stellt unverzüglich eine Mustervorlage für die Berechnung des EBITDA auf ihrer Internetseite zur Verfügung.</w:t>
      </w:r>
    </w:p>
    <w:p>
      <w:r>
        <w:t xml:space="preserve">(2) Die Prüfbehörde übermittelt dem Bundesministerium für Wirtschaft und Energie Jahresberichte zu den Entlastungen nach diesem Gesetz, das diese abnimmt und der Europäischen Kommission vorlegt. Die Bundesnetzagentur, die Übertragungsnetzbetreiber und die Elektrizitätsversorgungsunternehmen unterstützen die Prüfbehörde bei der Erstellung der Berichte.</w:t>
      </w:r>
    </w:p>
    <w:p>
      <w:r>
        <w:t xml:space="preserve">(3) Die Prüfbehörde hat vorbehaltlich weiterer Aufgaben, die ihr durch Rechtsverordnung aufgrund dieses Gesetzes übertragen werden, die Aufgaben zu überwachen, dass</w:t>
      </w:r>
    </w:p>
    <w:p>
      <w:pPr>
        <w:ind w:left="420"/>
      </w:pPr>
      <w:r>
        <w:t xml:space="preserve">1. die Elektrizitätsversorgungsunternehmen ordnungsgemäß nach den Vorgaben dieses Gesetzes</w:t>
      </w:r>
    </w:p>
    <w:p>
      <w:pPr>
        <w:ind w:left="780"/>
      </w:pPr>
      <w:r>
        <w:t xml:space="preserve">a) den Entlastungsbetrag nach Teil 2 dieses Gesetzes berechnen, auszahlen und endabrechnen, dabei insbesondere die Höchstwerte nach den §§ 9 und 10 einhalten sowie etwaige Rückforderungen im Rahmen der Endabrechnung nach § 12 erheben,</w:t>
      </w:r>
    </w:p>
    <w:p>
      <w:pPr>
        <w:ind w:left="780"/>
      </w:pPr>
      <w:r>
        <w:t xml:space="preserve">b) ihren Mitteilungspflichten nach § 31 nachkommen und</w:t>
      </w:r>
    </w:p>
    <w:p>
      <w:pPr>
        <w:ind w:left="780"/>
      </w:pPr>
      <w:r>
        <w:t xml:space="preserve">c) ihren sonstigen Pflichten nach diesem Gesetz nachkommen,</w:t>
      </w:r>
    </w:p>
    <w:p>
      <w:pPr>
        <w:ind w:left="420"/>
      </w:pPr>
      <w:r>
        <w:t xml:space="preserve">2. die sonstigen Letztverbraucher nach § 7 ordnungsgemäß nach den Vorgaben dieses Gesetz den Entlastungsbetrag nach § 7 berechnen, von den Übertragungsnetzbetreibern verlangen und endabrechnen, dabei insbesondere die Höchstwerte nach den §§ 9 und 10 einhalten sowie etwaig zu viel erhaltene Entlastungsbeträge zurückzahlen,</w:t>
      </w:r>
    </w:p>
    <w:p>
      <w:pPr>
        <w:ind w:left="420"/>
      </w:pPr>
      <w:r>
        <w:t xml:space="preserve">3. die sonstigen Letztverbraucher nach § 7 ihren sonstigen Pflichten nach diesem Gesetz nachkommen.</w:t>
      </w:r>
    </w:p>
    <w:p>
      <w:r>
        <w:t xml:space="preserve">(4) Für die Wahrnehmung der Aufgaben der Prüfbehörde nach diesem Gesetz und den aufgrund dieses Gesetzes erlassenen Rechtsverordnungen sind die Bestimmungen des Teils 8 des Energiewirtschaftsgesetzes mit Ausnahme von § 69 Absatz 1 Satz 2 und Absatz 10, der §§ 91, 93, 95 bis 101 sowie § 105 des Energiewirtschaftsgesetzes entsprechend anzuwenden. Die Befugnisse nach Satz 1 gelten gegenüber Personen, die keine Unternehmen sind, entsprechend.</w:t>
      </w:r>
    </w:p>
    <w:p>
      <w:r>
        <w:rPr>
          <w:color w:val="555555"/>
          <w:sz w:val="17"/>
        </w:rPr>
        <w:t xml:space="preserve">Zitiervorschlag: § 46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