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45 StromPBG — Haftung der Vertreter</w:t>
      </w:r>
    </w:p>
    <w:p>
      <w:r>
        <w:rPr>
          <w:color w:val="555555"/>
          <w:sz w:val="18"/>
        </w:rPr>
        <w:t xml:space="preserve">Strompreisbremsegesetz</w:t>
      </w:r>
    </w:p>
    <w:p>
      <w:r>
        <w:rPr>
          <w:color w:val="555555"/>
          <w:sz w:val="18"/>
        </w:rPr>
        <w:t xml:space="preserve">Stand: 24.12.2022 (konsolidierte Textfassung, kein amtliches Inkrafttretensdatum)</w:t>
      </w:r>
    </w:p>
    <w:p>
      <w:r>
        <w:t xml:space="preserve">Die gesetzlichen Vertreter juristischer Personen sowie von nicht rechtsfähigen Personenvereinigungen und die Verwalter von Vermögensmassen haften im Fall von vorsätzlicher oder grob fahrlässiger Verletzung der ihnen auferlegten Pflichten für Ansprüche infolge einer unvollständigen oder unzutreffenden Meldung nach § 17 Nummer 1.</w:t>
      </w:r>
    </w:p>
    <w:p>
      <w:r>
        <w:rPr>
          <w:color w:val="555555"/>
          <w:sz w:val="17"/>
        </w:rPr>
        <w:t xml:space="preserve">Zitiervorschlag: § 45 StromPBG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https://recht.nulegal.eu/gesetze/StromPBG/45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