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StromPBG — Bußgeldvorschriften</w:t>
      </w:r>
    </w:p>
    <w:p>
      <w:r>
        <w:rPr>
          <w:color w:val="555555"/>
          <w:sz w:val="18"/>
        </w:rPr>
        <w:t xml:space="preserve">Strompreisbremsegesetz</w:t>
      </w:r>
    </w:p>
    <w:p>
      <w:r>
        <w:rPr>
          <w:color w:val="555555"/>
          <w:sz w:val="18"/>
        </w:rPr>
        <w:t xml:space="preserve">Stand: 03.08.2023 (konsolidierte Textfassung, kein amtliches Inkrafttretensdatum)</w:t>
      </w:r>
    </w:p>
    <w:p>
      <w:r>
        <w:t xml:space="preserve">(1) Ordnungswidrig handelt, wer vorsätzlich oder fahrlässig</w:t>
      </w:r>
    </w:p>
    <w:p>
      <w:pPr>
        <w:ind w:left="420"/>
      </w:pPr>
      <w:r>
        <w:t xml:space="preserve">1. entgegen § 12 Absatz 1 Satz 1, auch in Verbindung mit § 7 Absatz 2 Nummer 1 oder § 12 Absatz 1 Satz 2, eine Vergünstigung oder Zugabe gewährt,</w:t>
      </w:r>
    </w:p>
    <w:p>
      <w:pPr>
        <w:ind w:left="420"/>
      </w:pPr>
      <w:r>
        <w:t xml:space="preserve">2. entgegen § 12 Absatz 1 Satz 4 einen anderen als den dort genannten Grundpreis vereinbart,</w:t>
      </w:r>
    </w:p>
    <w:p>
      <w:pPr>
        <w:ind w:left="420"/>
      </w:pPr>
      <w:r>
        <w:t xml:space="preserve">2a. entgegen § 12b Absatz 4 Nummer 8 oder 9 eine Angabe nicht richtig oder nicht vollständig macht,</w:t>
      </w:r>
    </w:p>
    <w:p>
      <w:pPr>
        <w:ind w:left="420"/>
      </w:pPr>
      <w:r>
        <w:t xml:space="preserve">3. seiner Pflicht zur Zahlung des Abschöpfungsbetrags nach § 14 Absatz 1 nicht, nicht rechtzeitig oder nicht ordnungsgemäß nachkommt,</w:t>
      </w:r>
    </w:p>
    <w:p>
      <w:pPr>
        <w:ind w:left="420"/>
      </w:pPr>
      <w:r>
        <w:t xml:space="preserve">4. entgegen § 17 Nummer 1 Buchstabe c eine Erklärung zu Absicherungsgeschäften nicht oder nicht rechtzeitig abgegeben hat,</w:t>
      </w:r>
    </w:p>
    <w:p>
      <w:pPr>
        <w:ind w:left="420"/>
      </w:pPr>
      <w:r>
        <w:t xml:space="preserve">5. seinen Mitteilungspflichten aus § 29 Absatz 1 Nummer 1, 2 oder Nummer 4 erster Halbsatz oder Absatz 2 nicht, nicht richtig, nicht vollständig oder nicht rechtzeitig nachkommt,</w:t>
      </w:r>
    </w:p>
    <w:p>
      <w:pPr>
        <w:ind w:left="420"/>
      </w:pPr>
      <w:r>
        <w:t xml:space="preserve">6. seinen Mitteilungspflichten aus § 30 Absatz 1 Nummer 2 oder Absatz 2 oder aus § 30a Absatz 2 nicht, nicht richtig, nicht vollständig oder nicht rechtzeitig nachkommt,</w:t>
      </w:r>
    </w:p>
    <w:p>
      <w:pPr>
        <w:ind w:left="420"/>
      </w:pPr>
      <w:r>
        <w:t xml:space="preserve">7. entgegen § 39 Absatz 1 Satz 2, auch in Verbindung mit § 7 Absatz 2 Nummer 6, einen dort genannten Arbeitspreis oder die Beschaffungskosten erhöht oder</w:t>
      </w:r>
    </w:p>
    <w:p>
      <w:pPr>
        <w:ind w:left="420"/>
      </w:pPr>
      <w:r>
        <w:t xml:space="preserve">8. einer vollziehbaren Anordnung nach § 40 Absatz 2 in Verbindung mit § 65 Absatz 1 oder Absatz 2 oder § 69 Absatz 7 Satz 1 oder Absatz 8 Satz 1 des Energiewirtschaftsgesetzes zuwiderhandelt.</w:t>
      </w:r>
    </w:p>
    <w:p>
      <w:r>
        <w:t xml:space="preserve">(2) Die Ordnungswidrigkeit kann geahndet werden</w:t>
      </w:r>
    </w:p>
    <w:p>
      <w:pPr>
        <w:ind w:left="420"/>
      </w:pPr>
      <w:r>
        <w:t xml:space="preserve">1. in den Fällen des Absatzes 1 Nummer 3, 4, 7 und 8 mit einer Geldbuße bis zu einer Million Euro,</w:t>
      </w:r>
    </w:p>
    <w:p>
      <w:pPr>
        <w:ind w:left="420"/>
      </w:pPr>
      <w:r>
        <w:t xml:space="preserve">2. in den Fällen des Absatzes 1 Nummer 2, 2a, 5 und 6 mit einer Geldbuße bis zu fünfhunderttausend Euro,</w:t>
      </w:r>
    </w:p>
    <w:p>
      <w:pPr>
        <w:ind w:left="420"/>
      </w:pPr>
      <w:r>
        <w:t xml:space="preserve">3. in den Fällen des Absatzes 1 Nummer 1 mit einer Geldbuße bis zu hunderttausend Euro.</w:t>
      </w:r>
    </w:p>
    <w:p>
      <w:r>
        <w:t xml:space="preserve">(3) Bei einer juristischen Person oder Personenvereinigung mit einem Gesamtumsatz</w:t>
      </w:r>
    </w:p>
    <w:p>
      <w:pPr>
        <w:ind w:left="420"/>
      </w:pPr>
      <w:r>
        <w:t xml:space="preserve">1. von mehr als 12,5 Millionen Euro kann abweichend von Absatz 2 Nummer 1 eine Ordnungswidrigkeit nach Absatz 1 Nummer 3, 4, 7 und 8 mit einer Geldbuße bis zu 8 Prozent,</w:t>
      </w:r>
    </w:p>
    <w:p>
      <w:pPr>
        <w:ind w:left="420"/>
      </w:pPr>
      <w:r>
        <w:t xml:space="preserve">2. von mehr als 12,5 Millionen Euro kann abweichend von Absatz 2 Nummer 2 eine Ordnungswidrigkeit nach Absatz 1 Nummer 2, 2a, 5 und 6 mit einer Geldbuße bis zu 4 Prozent und</w:t>
      </w:r>
    </w:p>
    <w:p>
      <w:pPr>
        <w:ind w:left="420"/>
      </w:pPr>
      <w:r>
        <w:t xml:space="preserve">3. von mehr als 10 Millionen Euro kann abweichend von Absatz 2 Nummer 3 eine Ordnungswidrigkeit nach Absatz 1 Nummer 1 mit einer Geldbuße bis zu 1 Prozent</w:t>
      </w:r>
    </w:p>
    <w:p>
      <w:r>
        <w:t xml:space="preserve">des in dem der Behördenentscheidung vorausgegangenen Geschäftsjahres erzielten Gesamtumsatzes geahndet werden. Bei der Ermittlung des Gesamtumsatzes ist der weltweite Umsatz aller natürlichen und juristischen Personen sowie Personenvereinigungen zugrunde zu legen, die als wirtschaftliche Einheit operieren. Die Höhe des Gesamtumsatzes kann geschätzt werden.</w:t>
      </w:r>
    </w:p>
    <w:p>
      <w:r>
        <w:t xml:space="preserve">(4) Verwaltungsbehörde im Sinne des § 36 Absatz 1 Nummer 1 des Gesetzes über Ordnungswidrigkeiten ist</w:t>
      </w:r>
    </w:p>
    <w:p>
      <w:pPr>
        <w:ind w:left="420"/>
      </w:pPr>
      <w:r>
        <w:t xml:space="preserve">1. in den Fällen des Absatzes 1 Nummer 1, 2 und 7 das Bundeskartellamt,</w:t>
      </w:r>
    </w:p>
    <w:p>
      <w:pPr>
        <w:ind w:left="420"/>
      </w:pPr>
      <w:r>
        <w:t xml:space="preserve">2. in den Fällen des Absatzes 1 Nummer 3, 4, 5 und 8 die Bundesnetzagentur und</w:t>
      </w:r>
    </w:p>
    <w:p>
      <w:pPr>
        <w:ind w:left="420"/>
      </w:pPr>
      <w:r>
        <w:t xml:space="preserve">3. in den Fällen des Absatzes 1 Nummer 2a und 6 die Prüfbehörde oder die durch Rechtsverordnung nach § 48 Absatz 1 Nummer 1a hierfür bestimmte Bundesbehörde.</w:t>
      </w:r>
    </w:p>
    <w:p>
      <w:r>
        <w:t xml:space="preserve">(5) Die Verfolgung von Ordnungswidrigkeiten nach Absatz 1 verjährt in fünf Jahren. Für das Verfahren gelten die Regelungen in den §§ 81b und 81f des Gesetzes gegen Wettbewerbsbeschränkungen entsprechend. Im Falle der Zuständigkeit des Bundeskartellamts nach Absatz 4 sind über Satz 2 hinaus die Vorschriften des Abschnitts 3 des Kapitels 2 des Teils 3 und die §§ 86a, 91, 92, 94 und 95 des Gesetzes gegen Wettbewerbsbeschränkungen einschließlich der von ihnen in Bezug genommenen Vorschriften entsprechend anzuwenden. Im Fall der Zuständigkeit der Bundesnetzagentur nach Absatz 4 sind über Satz 2 hinaus die §§ 96 bis 101 des Energiewirtschaftsgesetzes einschließlich der von ihnen in Bezug genommenen Vorschriften entsprechend anzuwenden.</w:t>
      </w:r>
    </w:p>
    <w:p>
      <w:r>
        <w:t xml:space="preserve">(6) Im Fall einer Gesamtrechtsnachfolge oder einer partiellen Gesamtrechtsnachfolge durch Aufspaltung nach § 123 Absatz 1 des Umwandlungsgesetzes können Geldbußen nach Absatz 3 Satz 1 gegen den oder die Rechtsnachfolger verhängt werden.</w:t>
      </w:r>
    </w:p>
    <w:p>
      <w:r>
        <w:t xml:space="preserve">(7) Erlischt die nach § 30 des Gesetzes über Ordnungswidrigkeiten verantwortliche juristische Person oder Personenvereinigung nach der Bekanntgabe der Einleitung des Bußgeldverfahrens oder wird Vermögen verschoben mit der Folge, dass ihr oder ihrem Rechtsnachfolger gegenüber eine in Bezug auf die verantwortliche juristische Person oder Personenvereinigung angemessene Geldbuße nicht festgesetzt oder voraussichtlich nicht vollstreckt werden kann, so kann ein Haftungsbetrag in Höhe der nach Absatz 3 Satz 1 in Bezug auf das verantwortliche Unternehmen angemessenen Geldbuße festgesetzt werden gegen juristische Personen oder Personenvereinigungen,</w:t>
      </w:r>
    </w:p>
    <w:p>
      <w:pPr>
        <w:ind w:left="420"/>
      </w:pPr>
      <w:r>
        <w:t xml:space="preserve">1. die zum Zeitpunkt der Bekanntgabe der Einleitung des Bußgeldverfahrens mit der verantwortlichen juristischen Person verbundene Unternehmen waren und auf die verantwortliche juristische Person oder Personenvereinigung oder ihren Rechtsnachfolger unmittelbar oder mittelbar einen bestimmenden Einfluss ausgeübt haben,</w:t>
      </w:r>
    </w:p>
    <w:p>
      <w:pPr>
        <w:ind w:left="420"/>
      </w:pPr>
      <w:r>
        <w:t xml:space="preserve">2. die nach der Bekanntgabe der Einleitung des Bußgeldverfahrens Rechtsnachfolger im Sinn des Absatzes 6 werden oder</w:t>
      </w:r>
    </w:p>
    <w:p>
      <w:pPr>
        <w:ind w:left="420"/>
      </w:pPr>
      <w:r>
        <w:t xml:space="preserve">3. die wesentliche Wirtschaftsgüter der verantwortlichen juristischen Person oder Personenvereinigung übernommen und deren Tätigkeit im Wesentlichen fortgesetzt haben (Einzelrechtsnachfolge).</w:t>
      </w:r>
    </w:p>
    <w:p>
      <w:r>
        <w:t xml:space="preserve">(8) Absatz 6 ist auf die Haftung nach Absatz 7 entsprechend anzuwenden.</w:t>
      </w:r>
    </w:p>
    <w:p>
      <w:r>
        <w:t xml:space="preserve">(9) Für das Verfahren zur Festsetzung und Vollstreckung des Haftungsbetrages nach Absatz 7 sind die Vorschriften über die Festsetzung und Vollstreckung einer Geldbuße entsprechend anzuwenden. Für die Verjährungsfrist ist das für die Ordnungswidrigkeit geltende Recht entsprechend anzuwenden. § 31 Absatz 3 des Gesetzes über Ordnungswidrigkeiten ist mit der Maßgabe entsprechend anzuwenden, dass die Verjährung mit Eintritt der Voraussetzungen nach Absatz 7 beginnt.</w:t>
      </w:r>
    </w:p>
    <w:p>
      <w:r>
        <w:t xml:space="preserve">(10) Sofern gegen mehrere juristische Personen oder Personenvereinigungen eines Unternehmens wegen derselben Ordnungswidrigkeit Geldbußen und Haftungsbeträge festgesetzt werden, darf im Vollstreckungsverfahren diesen gegenüber insgesamt nur eine Beitreibung bis zur Erreichung des höchsten festgesetzten Einzelbetrages erfolgen.</w:t>
      </w:r>
    </w:p>
    <w:p>
      <w:r>
        <w:rPr>
          <w:color w:val="555555"/>
          <w:sz w:val="17"/>
        </w:rPr>
        <w:t xml:space="preserve">Zitiervorschlag: § 43 StromPBG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https://recht.nulegal.eu/gesetze/StromPBG/43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