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StromPBG — Aufsicht der Bundesnetzagentur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(1) Die Bundesnetzagentur hat vorbehaltlich weiterer Aufgaben, die ihr durch Rechtsverordnung aufgrund dieses Gesetzes übertragen werden, die Aufgabe zu überwachen, dass</w:t>
      </w:r>
    </w:p>
    <w:p>
      <w:pPr>
        <w:ind w:left="420"/>
      </w:pPr>
      <w:r>
        <w:t xml:space="preserve">1. die Betreiber von Stromerzeugungsanlagen ordnungsgemäß nach den Vorgaben dieses Gesetzes</w:t>
      </w:r>
    </w:p>
    <w:p>
      <w:pPr>
        <w:ind w:left="780"/>
      </w:pPr>
      <w:r>
        <w:t xml:space="preserve">a) ihren Mitteilungspflichten nach § 29 nachkommen,</w:t>
      </w:r>
    </w:p>
    <w:p>
      <w:pPr>
        <w:ind w:left="780"/>
      </w:pPr>
      <w:r>
        <w:t xml:space="preserve">b) die nach Teil 3 abzuführenden Überschusserlöse ermitteln,</w:t>
      </w:r>
    </w:p>
    <w:p>
      <w:pPr>
        <w:ind w:left="780"/>
      </w:pPr>
      <w:r>
        <w:t xml:space="preserve">c) ihre Zahlungspflicht nach § 14 Absatz 1 erfüllen und</w:t>
      </w:r>
    </w:p>
    <w:p>
      <w:pPr>
        <w:ind w:left="780"/>
      </w:pPr>
      <w:r>
        <w:t xml:space="preserve">d) ihren sonstigen Pflichten nach diesem Gesetz nachkommen,</w:t>
      </w:r>
    </w:p>
    <w:p>
      <w:pPr>
        <w:ind w:left="420"/>
      </w:pPr>
      <w:r>
        <w:t xml:space="preserve">2. die Netzbetreiber ordnungsgemäß nach den Vorgaben dieses Gesetzes</w:t>
      </w:r>
    </w:p>
    <w:p>
      <w:pPr>
        <w:ind w:left="780"/>
      </w:pPr>
      <w:r>
        <w:t xml:space="preserve">a) ihren Kontoführungs-, Mitteilungs- und Veröffentlichungspflichten nach Teil 5 nachkommen,</w:t>
      </w:r>
    </w:p>
    <w:p>
      <w:pPr>
        <w:ind w:left="780"/>
      </w:pPr>
      <w:r>
        <w:t xml:space="preserve">b) die nach Teil 3 von den Betreibern von Stromerzeugungsanlagen abzuführenden Überschusserlöse vereinnahmen,</w:t>
      </w:r>
    </w:p>
    <w:p>
      <w:pPr>
        <w:ind w:left="780"/>
      </w:pPr>
      <w:r>
        <w:t xml:space="preserve">c) den Ausgleichsmechanismus nach Teil 4 durchführen und</w:t>
      </w:r>
    </w:p>
    <w:p>
      <w:pPr>
        <w:ind w:left="780"/>
      </w:pPr>
      <w:r>
        <w:t xml:space="preserve">d) ihren sonstigen Pflichten nach diesem Gesetz nachkommen,</w:t>
      </w:r>
    </w:p>
    <w:p>
      <w:pPr>
        <w:ind w:left="420"/>
      </w:pPr>
      <w:r>
        <w:t xml:space="preserve">3. die Elektrizitätsversorgungsunternehmen ordnungsgemäß nach den Vorgaben dieses Gesetzes ihren Erstattungsanspruch gegenüber den Übertragungsnetzbetreibern abrechnen und</w:t>
      </w:r>
    </w:p>
    <w:p>
      <w:pPr>
        <w:ind w:left="420"/>
      </w:pPr>
      <w:r>
        <w:t xml:space="preserve">4. die nach § 15 verpflichteten Gesellschafter und Unternehmen ihren Mitteilungspflichten nach § 29 und ihrer Zahlungspflicht ordnungsgemäß nach den Vorgaben dieses Gesetzes nachkommen.</w:t>
      </w:r>
    </w:p>
    <w:p>
      <w:r>
        <w:t xml:space="preserve">(2) Für die Wahrnehmung der Aufgaben der Bundesnetzagentur nach diesem Gesetz und den aufgrund dieses Gesetzes erlassenen Rechtsverordnungen sind die Bestimmungen des Teils 8 des Energiewirtschaftsgesetzes mit Ausnahme von § 69 Absatz 1 Satz 2 und Absatz 10, der §§ 91, 93, 95 bis 101 sowie § 105 des Energiewirtschaftsgesetzes entsprechend anzuwenden. Die Befugnisse nach Satz 1 sind gegenüber Personen, die keine Unternehmen sind, entsprechend anzuwenden.</w:t>
      </w:r>
    </w:p>
    <w:p>
      <w:r>
        <w:rPr>
          <w:color w:val="555555"/>
          <w:sz w:val="17"/>
        </w:rPr>
        <w:t xml:space="preserve">Zitiervorschlag: § 40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