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StromPBG — Arbeitsplatzerhaltungspflicht</w:t>
      </w:r>
    </w:p>
    <w:p>
      <w:r>
        <w:rPr>
          <w:color w:val="555555"/>
          <w:sz w:val="18"/>
        </w:rPr>
        <w:t xml:space="preserve">Strompreisbremsegesetz</w:t>
      </w:r>
    </w:p>
    <w:p>
      <w:r>
        <w:rPr>
          <w:color w:val="555555"/>
          <w:sz w:val="18"/>
        </w:rPr>
        <w:t xml:space="preserve">Stand: 03.08.2023 (konsolidierte Textfassung, kein amtliches Inkrafttretensdatum)</w:t>
      </w:r>
    </w:p>
    <w:p>
      <w:r>
        <w:t xml:space="preserve">(1) Letztverbraucher, die Unternehmen sind und Arbeitnehmer beschäftigen, können auf Grundlage dieses Gesetzes und des Erdgas-Wärme-Preisbremsengesetzes insgesamt Entlastungen über 2 Millionen Euro beziehen, wenn sie durch Tarifvertrag oder Betriebsvereinbarung eine Regelung zur Beschäftigungssicherung für die Dauer bis mindestens zum 30. April 2025 getroffen haben. Eine solche Beschäftigungssicherungsvereinbarung kann ersetzt werden durch</w:t>
      </w:r>
    </w:p>
    <w:p>
      <w:pPr>
        <w:ind w:left="420"/>
      </w:pPr>
      <w:r>
        <w:t xml:space="preserve">1. eine schriftliche Erklärung des Letztverbrauchers mit vorliegenden Stellungnahmen von Verhandlungsbeteiligten über die Gründe des Nichtzustandekommens einer Betriebsvereinbarung oder eines Tarifvertrags und</w:t>
      </w:r>
    </w:p>
    <w:p>
      <w:pPr>
        <w:ind w:left="420"/>
      </w:pPr>
      <w:r>
        <w:t xml:space="preserve">2. durch eine Erklärung des Letztverbrauchers, wonach er sich selbst verpflichtet, bis mindestens zum 30. April 2025 eine Belegschaft zu erhalten, die mindestens 90 Prozent der am 1. Januar 2023 vorhandenen Arbeitsplatz-Vollzeitäquivalente entspricht.</w:t>
      </w:r>
    </w:p>
    <w:p>
      <w:r>
        <w:t xml:space="preserve">(2) Zum Nachweis der Einhaltung der Verpflichtung nach Absatz 1 legt der Letztverbraucher der Prüfbehörde bis zum 31. Juli 2023 vor</w:t>
      </w:r>
    </w:p>
    <w:p>
      <w:pPr>
        <w:ind w:left="420"/>
      </w:pPr>
      <w:r>
        <w:t xml:space="preserve">1. die Tarifverträge oder Betriebsvereinbarungen nach Absatz 1 Satz 1 oder</w:t>
      </w:r>
    </w:p>
    <w:p>
      <w:pPr>
        <w:ind w:left="420"/>
      </w:pPr>
      <w:r>
        <w:t xml:space="preserve">2. die Erklärungen nach Absatz 1 Satz 2.</w:t>
      </w:r>
    </w:p>
    <w:p>
      <w:r>
        <w:t xml:space="preserve">Erfolgt bis zum 31. Juli 2023 kein Nachweis, haben Letztverbraucher nur einen Anspruch auf Gesamtentlastung nach diesem Gesetz und dem Erdgas-Wärme-Preisbremsengesetzes in Höhe von bis zu 2 Millionen Euro. Die Prüfbehörde hat übersteigende Entlastungsbeträge im Fall von Satz 2 zurückzufordern. Die Rückzahlungsbeträge sind entsprechend § 49a Absatz 3 Satz 1 des Verwaltungsverfahrensgesetzes zu verzinsen.</w:t>
      </w:r>
    </w:p>
    <w:p>
      <w:r>
        <w:t xml:space="preserve">(3) Im Rahmen eines Abschlussberichts legt der Letztverbraucher, der unter Absatz 1 Satz 2 fällt, der Prüfbehörde einen durch Prüfer testierten Nachweis vor, der die Arbeitsplatzentwicklung darstellt. Im Fall eines Arbeitsplatzabbaus sind die Gründe dafür darzulegen. Sollte der Letztverbraucher Investitionen nach Absatz 4 Satz 2 Nummer 3 getätigt haben, ist ein entsprechender Investitionsplan dem Abschlussbericht beizufügen.</w:t>
      </w:r>
    </w:p>
    <w:p>
      <w:r>
        <w:t xml:space="preserve">(4) Die Prüfbehörde soll nach pflichtgemäßem Ermessen die gewährte Entlastung, die 2 Millionen Euro übersteigt, ganz oder teilweise zurückfordern, wenn der Letztverbraucher die Verpflichtung nach Absatz 1 Satz 2 Nummer 2 nicht erfüllt. Dabei berücksichtigt die Prüfbehörde insbesondere folgende Grundsätze:</w:t>
      </w:r>
    </w:p>
    <w:p>
      <w:pPr>
        <w:ind w:left="420"/>
      </w:pPr>
      <w:r>
        <w:t xml:space="preserve">1. Die Höhe der Rückforderung der erhaltenen Förderung soll prozentual der Höhe der Unterschreitung der vereinbarten oder zugesicherten Zahl an zu erhaltenen Arbeitsplatz-Vollzeitäquivalenten entsprechen, mindestens aber 20 Prozent betragen.</w:t>
      </w:r>
    </w:p>
    <w:p>
      <w:pPr>
        <w:ind w:left="420"/>
      </w:pPr>
      <w:r>
        <w:t xml:space="preserve">2. Bei Maßnahmen nach dem Umwandlungsgesetz oder Übergängen von Betrieben oder Betriebsteilen nach § 613a des Bürgerlichen Gesetzbuchs berücksichtigt die Prüfbehörde, in welchem Umfang die zum 1. Januar 2023 vorhandenen Arbeitsplatz-Vollzeitäquivalente bis zum 30. April 2025 beim Rechtsnachfolger erhalten geblieben sind.</w:t>
      </w:r>
    </w:p>
    <w:p>
      <w:pPr>
        <w:ind w:left="420"/>
      </w:pPr>
      <w:r>
        <w:t xml:space="preserve">3. Eine Unterschreitung der vereinbarten oder zugesicherten Zahl an zu erhaltenen Arbeitsplatz-Vollzeitäquivalenten um bis zu 50 Prozent kann durch Investitionen in Höhe von mindestens 50 Prozent der Summe des nach diesem Gesetz, dem Erdgas-Wärme-Preisbremsengesetz und dem Energiekostendämpfungsprogramm erhaltenen Förderbetrags ausgeglichen werden. Die Höhe der Investition soll zu einem Anstieg der Investitionsquote des Letztverbrauchers um mindestens 20 Prozent im Zeitraum der Jahre 2023 bis 2026 gegenüber dem Zeitraum der Jahre 2019 bis 2021 beitragen. Die Investition soll eine der Anforderungen nach Randnummer 33 des „Befristeten Krisenrahmens für staatliche Beihilfen zur Stützung der Wirtschaft infolge der Aggression Russlands gegen die Ukraine“ der Europäischen Kommission vom 28. Oktober 2022 erfüllen oder einen wesentlichen Beitrag zur Erfüllung der Ziele leisten, die in Artikel 9 der Verordnung (EU) 2020/852 des Europäischen Parlaments und des Rates vom 18. Juni 2020 über die Einrichtung eines Rahmens zur Erleichterung nachhaltiger Investitionen und zur Änderung der Verordnung (EU) 2019/2088 (ABl. L 198 vom 22.6.2020, S. 13; L 156 vom 9.6.2022, S. 159), die zuletzt durch die Delegierte Verordnung (EU) 2021/2178 (ABl. L 443 vom 10.12.2021, S. 9) geändert worden ist, genannt sind.</w:t>
      </w:r>
    </w:p>
    <w:p>
      <w:pPr>
        <w:ind w:left="420"/>
      </w:pPr>
      <w:r>
        <w:t xml:space="preserve">4. Die wirtschaftliche Situation des Letztverbrauchers und seines Wirtschaftszweiges ist bei der Entscheidung zu beachten.</w:t>
      </w:r>
    </w:p>
    <w:p>
      <w:r>
        <w:t xml:space="preserve">Die Rückzahlungsbeträge sind entsprechend § 49a Absatz 3 Satz 1 des Verwaltungsverfahrensgesetzes zu verzinsen, die Prüfbehörde kann von der Geltendmachung des Zinsanspruchs entsprechend § 49a Absatz 3 Satz 2 des Verwaltungsverfahrensgesetzes absehen.</w:t>
      </w:r>
    </w:p>
    <w:p>
      <w:r>
        <w:rPr>
          <w:color w:val="555555"/>
          <w:sz w:val="17"/>
        </w:rPr>
        <w:t xml:space="preserve">Zitiervorschlag: § 37 StromPBG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https://recht.nulegal.eu/gesetze/StromPBG/37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