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StromPBG — Prüfung</w:t>
      </w:r>
    </w:p>
    <w:p>
      <w:r>
        <w:rPr>
          <w:color w:val="555555"/>
          <w:sz w:val="18"/>
        </w:rPr>
        <w:t xml:space="preserve">Strompreisbremsegesetz</w:t>
      </w:r>
    </w:p>
    <w:p>
      <w:r>
        <w:rPr>
          <w:color w:val="555555"/>
          <w:sz w:val="18"/>
        </w:rPr>
        <w:t xml:space="preserve">Stand: 24.12.2022 (konsolidierte Textfassung, kein amtliches Inkrafttretensdatum)</w:t>
      </w:r>
    </w:p>
    <w:p>
      <w:r>
        <w:t xml:space="preserve">Die zusammengefassten Endabrechnungen der Elektrizitätsversorgungsunternehmen nach § 31 Absatz 1 Nummer 1 Buchstabe b, die Endabrechnungen der Verteilernetzbetreiber nach § 32 Absatz 1 Nummer 2 und die Endabrechnungen der sonstigen Letztverbraucher nach § 7 Absatz 2 Nummer 3 müssen durch einen Prüfer geprüft und in elektronisch signierter Form vorgelegt werden. Im Übrigen können die Netzbetreiber verlangen, dass Endabrechnungen, mit denen Beträge von 2 Millionen Euro oder mehr abgerechnet werden, bei Vorlage durch einen Prüfer geprüft werden. Bei der Prüfung sind zu berücksichtigen:</w:t>
      </w:r>
    </w:p>
    <w:p>
      <w:pPr>
        <w:ind w:left="420"/>
      </w:pPr>
      <w:r>
        <w:t xml:space="preserve">1. die höchstrichterliche Rechtsprechung und</w:t>
      </w:r>
    </w:p>
    <w:p>
      <w:pPr>
        <w:ind w:left="420"/>
      </w:pPr>
      <w:r>
        <w:t xml:space="preserve">2. die Entscheidungen der Bundesnetzagentur nach § 40.</w:t>
      </w:r>
    </w:p>
    <w:p>
      <w:r>
        <w:t xml:space="preserve">Für die Prüfungen nach diesem Gesetz sind § 319 Absatz 2 bis 4, § 319b Absatz 1, § 320 Absatz 2 und § 323 des Handelsgesetzbuches entsprechend anzuwenden. Erfolgen die Prüfungen durch einen genossenschaftlichen Prüfungsverband, sind abweichend von Satz 4 § 55 Absatz 2, § 57 Absatz 1 Satz 1 und § 62 Absatz 1, 2, 4 und 5 des Genossenschaftsgesetzes entsprechend anzuwenden.</w:t>
      </w:r>
    </w:p>
    <w:p>
      <w:r>
        <w:rPr>
          <w:color w:val="555555"/>
          <w:sz w:val="17"/>
        </w:rPr>
        <w:t xml:space="preserve">Zitiervorschlag: § 34 StromPBG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https://recht.nulegal.eu/gesetze/StromPBG/34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