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30a StromPBG — Selbsterklärung von Schienenbahnen</w:t>
      </w:r>
    </w:p>
    <w:p>
      <w:r>
        <w:rPr>
          <w:color w:val="555555"/>
          <w:sz w:val="18"/>
        </w:rPr>
        <w:t xml:space="preserve">Strompreisbremsegesetz</w:t>
      </w:r>
    </w:p>
    <w:p>
      <w:r>
        <w:rPr>
          <w:color w:val="555555"/>
          <w:sz w:val="18"/>
        </w:rPr>
        <w:t xml:space="preserve">Stand: 03.08.2023 (konsolidierte Textfassung, kein amtliches Inkrafttretensdatum)</w:t>
      </w:r>
    </w:p>
    <w:p>
      <w:r>
        <w:t xml:space="preserve">(1) Eine Schienenbahn muss ihrem Elektrizitätsversorgungsunternehmen bis zum Ablauf des 31. August 2023 mitteilen,</w:t>
      </w:r>
    </w:p>
    <w:p>
      <w:pPr>
        <w:ind w:left="420"/>
      </w:pPr>
      <w:r>
        <w:t xml:space="preserve">1. welche Höchstgrenze nach § 10 voraussichtlich auf sie anzuwenden sein wird,</w:t>
      </w:r>
    </w:p>
    <w:p>
      <w:pPr>
        <w:ind w:left="420"/>
      </w:pPr>
      <w:r>
        <w:t xml:space="preserve">2. welcher Anteil der Höchstgrenze nach Nummer 1 vorläufig auf das mit diesem Elektrizitätsunternehmen bestehende Elektrizitätslieferverhältnis anzuwenden sein soll und</w:t>
      </w:r>
    </w:p>
    <w:p>
      <w:pPr>
        <w:ind w:left="420"/>
      </w:pPr>
      <w:r>
        <w:t xml:space="preserve">3. welcher Anteil der Höchstgrenze nach Nummer 2 vorläufig auf die von diesem Elektrizitätsversorgungsunternehmen belieferten Netzentnahmestellen pro Kalendermonat entfallen soll.</w:t>
      </w:r>
    </w:p>
    <w:p>
      <w:r>
        <w:t xml:space="preserve">(2) Eine Schienenbahn muss ihrem Elektrizitätsversorgungsunternehmen im Fall des § 11a Absatz 6 Satz 2 einen Monat nach Zugang der Feststellung nach § 11a Absatz 1, andernfalls unverzüglich nach Ablauf des 31. Dezember 2023 spätestens bis zum Ablauf des 31. Mai 2024 mitteilen:</w:t>
      </w:r>
    </w:p>
    <w:p>
      <w:pPr>
        <w:ind w:left="420"/>
      </w:pPr>
      <w:r>
        <w:t xml:space="preserve">1. die tatsächlich anzuwendende Höchstgrenze nach § 10,</w:t>
      </w:r>
    </w:p>
    <w:p>
      <w:pPr>
        <w:ind w:left="420"/>
      </w:pPr>
      <w:r>
        <w:t xml:space="preserve">2. den Bescheid nach § 11a und</w:t>
      </w:r>
    </w:p>
    <w:p>
      <w:pPr>
        <w:ind w:left="420"/>
      </w:pPr>
      <w:r>
        <w:t xml:space="preserve">3. den Vermerk eines Prüfers, der</w:t>
      </w:r>
    </w:p>
    <w:p>
      <w:pPr>
        <w:ind w:left="780"/>
      </w:pPr>
      <w:r>
        <w:t xml:space="preserve">a) ausweist, welcher Anteil von der Höchstgrenze nach Nummer 1 in dem mit diesem Elektrizitätsunternehmen bestehenden Elektrizitätslieferverhältnis in Form von Entlastungen gewährt wird und</w:t>
      </w:r>
    </w:p>
    <w:p>
      <w:pPr>
        <w:ind w:left="780"/>
      </w:pPr>
      <w:r>
        <w:t xml:space="preserve">b) bestätigt, dass die Summe aller Entlastungen, die Schienenbahnen nach § 6 Satz 2 Nummer 3 erhalten, die Höchstgrenze nach § 10 nicht überschreitet.</w:t>
      </w:r>
    </w:p>
    <w:p>
      <w:r>
        <w:rPr>
          <w:color w:val="555555"/>
          <w:sz w:val="17"/>
        </w:rPr>
        <w:t xml:space="preserve">Zitiervorschlag: § 30a StromPBG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https://recht.nulegal.eu/gesetze/StromPBG/30a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