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StromPBG — Anwendungsbereich</w:t>
      </w:r>
    </w:p>
    <w:p>
      <w:r>
        <w:rPr>
          <w:color w:val="555555"/>
          <w:sz w:val="18"/>
        </w:rPr>
        <w:t xml:space="preserve">Strompreisbremsegesetz</w:t>
      </w:r>
    </w:p>
    <w:p>
      <w:r>
        <w:rPr>
          <w:color w:val="555555"/>
          <w:sz w:val="18"/>
        </w:rPr>
        <w:t xml:space="preserve">Stand: 24.12.2022 (konsolidierte Textfassung, kein amtliches Inkrafttretensdatum)</w:t>
      </w:r>
    </w:p>
    <w:p>
      <w:r>
        <w:t xml:space="preserve">(1) Die Regelungen dieses Teils sind vorbehaltlich einer Rechtsverordnung aufgrund des § 47 Absatz 1 Nummer 1 auf Netzentnahmen von Strom anzuwenden, der nach dem 31. Dezember 2022 und vor dem 1. Januar 2024 im Bundesgebiet verbraucht wurde.</w:t>
      </w:r>
    </w:p>
    <w:p>
      <w:r>
        <w:t xml:space="preserve">(2) Die Bundesregierung kann durch Rechtsverordnung nach § 47 Absatz 1 Nummer 1 den zeitlichen Anwendungsbereich dieses Teils bis zum 30. April 2024 verlängern.</w:t>
      </w:r>
    </w:p>
    <w:p>
      <w:r>
        <w:t xml:space="preserve">(3) Die Regelungen dieses Teils sind nicht anzuwenden auf Strom, der ohne Netzentnahme verbraucht wird.</w:t>
      </w:r>
    </w:p>
    <w:p>
      <w:r>
        <w:rPr>
          <w:color w:val="555555"/>
          <w:sz w:val="17"/>
        </w:rPr>
        <w:t xml:space="preserve">Zitiervorschlag: § 3 StromPBG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https://recht.nulegal.eu/gesetze/StromPBG/3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