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StromPBG — Umfang der Mitteilungspflichten</w:t>
      </w:r>
    </w:p>
    <w:p>
      <w:r>
        <w:rPr>
          <w:color w:val="555555"/>
          <w:sz w:val="18"/>
        </w:rPr>
        <w:t xml:space="preserve">Strompreisbremsegesetz</w:t>
      </w:r>
    </w:p>
    <w:p>
      <w:r>
        <w:rPr>
          <w:color w:val="555555"/>
          <w:sz w:val="18"/>
        </w:rPr>
        <w:t xml:space="preserve">Stand: 24.12.2025 (konsolidierte Textfassung, kein amtliches Inkrafttretensdatum)</w:t>
      </w:r>
    </w:p>
    <w:p>
      <w:r>
        <w:t xml:space="preserve">Betreiber von Stromerzeugungsanlagen, Netzbetreiber, Letztverbraucher, die Unternehmen sind, und Elektrizitätsversorgungsunternehmen müssen</w:t>
      </w:r>
    </w:p>
    <w:p>
      <w:pPr>
        <w:ind w:left="420"/>
      </w:pPr>
      <w:r>
        <w:t xml:space="preserve">1. einander die für die Abwicklung dieses Gesetzes erforderlichen Angaben, insbesondere die in den §§ 29 bis 33 genannten Angaben, unverzüglich zur Verfügung stellen, soweit in den nachfolgenden Bestimmungen keine abweichenden Fristen bestimmt sind, und</w:t>
      </w:r>
    </w:p>
    <w:p>
      <w:pPr>
        <w:ind w:left="420"/>
      </w:pPr>
      <w:r>
        <w:t xml:space="preserve">2. auf Verlangen dem Bundesministerium für Wirtschaft und Energie die Angaben nach Nummer 1 übermitteln, soweit dies für die Erfüllung einer Anforderung durch die Europäische Kommission aufgrund des europäischen Beihilfenrechts erforderlich ist.</w:t>
      </w:r>
    </w:p>
    <w:p>
      <w:r>
        <w:rPr>
          <w:color w:val="555555"/>
          <w:sz w:val="17"/>
        </w:rPr>
        <w:t xml:space="preserve">Zitiervorschlag: § 28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