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StromPBG — Abschlagszahlungen</w:t>
      </w:r>
    </w:p>
    <w:p>
      <w:r>
        <w:rPr>
          <w:color w:val="555555"/>
          <w:sz w:val="18"/>
        </w:rPr>
        <w:t xml:space="preserve">Strompreisbremsegesetz</w:t>
      </w:r>
    </w:p>
    <w:p>
      <w:r>
        <w:rPr>
          <w:color w:val="555555"/>
          <w:sz w:val="18"/>
        </w:rPr>
        <w:t xml:space="preserve">Stand: 24.12.2022 (konsolidierte Textfassung, kein amtliches Inkrafttretensdatum)</w:t>
      </w:r>
    </w:p>
    <w:p>
      <w:r>
        <w:t xml:space="preserve">(1) Auf die Zahlungen nach diesem Teil mit Ausnahme der Zahlungen nach § 20 können monatlich Abschläge in angemessenem Umfang verlangt werden.</w:t>
      </w:r>
    </w:p>
    <w:p>
      <w:r>
        <w:t xml:space="preserve">(2) Wenn ein Elektrizitätsversorgungsunternehmen die für die Festlegung der Abschläge erforderlichen Daten nicht oder nicht rechtzeitig dem Übertragungsnetzbetreiber mitgeteilt hat, richtet sich die Höhe der Abschläge im Rahmen des § 20 nach der Schätzung der Übertragungsnetzbetreiber. § 61 des Energiefinanzierungsgesetzes ist entsprechend anzuwenden.</w:t>
      </w:r>
    </w:p>
    <w:p>
      <w:r>
        <w:rPr>
          <w:color w:val="555555"/>
          <w:sz w:val="17"/>
        </w:rPr>
        <w:t xml:space="preserve">Zitiervorschlag: § 23 StromPBG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https://recht.nulegal.eu/gesetze/StromPBG/23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