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StromPBG — Ausgleich zwischen Elektrizitätsversorgungsunternehmen und Übertragungsnetzbetreibern</w:t>
      </w:r>
    </w:p>
    <w:p>
      <w:r>
        <w:rPr>
          <w:color w:val="555555"/>
          <w:sz w:val="18"/>
        </w:rPr>
        <w:t xml:space="preserve">Strompreisbremsegesetz</w:t>
      </w:r>
    </w:p>
    <w:p>
      <w:r>
        <w:rPr>
          <w:color w:val="555555"/>
          <w:sz w:val="18"/>
        </w:rPr>
        <w:t xml:space="preserve">Stand: 24.12.2022 (konsolidierte Textfassung, kein amtliches Inkrafttretensdatum)</w:t>
      </w:r>
    </w:p>
    <w:p>
      <w:r>
        <w:t xml:space="preserve">Elektrizitätsversorgungsunternehmen haben einen finanziellen Anspruch auf Erstattung der nach § 4 Absatz 1 geleisteten Entlastungsbeträge gegenüber dem für die betreffende Netzentnahmestelle regelzonenverantwortlichen Übertragungsnetzbetreiber.</w:t>
      </w:r>
    </w:p>
    <w:p>
      <w:r>
        <w:rPr>
          <w:color w:val="555555"/>
          <w:sz w:val="17"/>
        </w:rPr>
        <w:t xml:space="preserve">Zitiervorschlag: § 20 StromPBG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https://recht.nulegal.eu/gesetze/StromPBG/20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