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18 StromPBG — Überschusserlöse bei anlagenbezogener Vermarktung</w:t>
      </w:r>
    </w:p>
    <w:p>
      <w:r>
        <w:rPr>
          <w:color w:val="555555"/>
          <w:sz w:val="18"/>
        </w:rPr>
        <w:t xml:space="preserve">Strompreisbremsegesetz</w:t>
      </w:r>
    </w:p>
    <w:p>
      <w:r>
        <w:rPr>
          <w:color w:val="555555"/>
          <w:sz w:val="18"/>
        </w:rPr>
        <w:t xml:space="preserve">Stand: 24.12.2022 (konsolidierte Textfassung, kein amtliches Inkrafttretensdatum)</w:t>
      </w:r>
    </w:p>
    <w:p>
      <w:r>
        <w:t xml:space="preserve">(1) Soweit im Abrechnungszeitraum erzeugter Strom Gegenstand eines von dem Betreiber der Stromerzeugungsanlage vor dem 1. November 2022 geschlossenen anlagenbezogenen Vermarktungsvertrags ist und der Betreiber den anlagenbezogenen Vermarktungsvertrag nach § 29 Absatz 1 Nummer 4 Buchstabe c dem Netzbetreiber gemeldet hat, ist, solange dieser Vertrag gilt und nicht geändert worden ist, § 16 mit der Maßgabe entsprechend anzuwenden, dass</w:t>
      </w:r>
    </w:p>
    <w:p>
      <w:pPr>
        <w:ind w:left="420"/>
      </w:pPr>
      <w:r>
        <w:t xml:space="preserve">1. anstelle der Spotmarkterlöse oder im Fall von Windenergieanlagen und Solaranlagen der Erlöse auf der Basis des energieträgerspezifischen Monatsmarktwertes nach Anlage 1 Nummer 3.3 des Erneuerbare-Energien-Gesetzes der Erlös aus dem anlagenbezogenen Vermarktungsvertrag zugrunde zu legen ist und</w:t>
      </w:r>
    </w:p>
    <w:p>
      <w:pPr>
        <w:ind w:left="420"/>
      </w:pPr>
      <w:r>
        <w:t xml:space="preserve">2. bei Erneuerbare-Energien-Anlagen der Wert nach § 16 Absatz 1 Nummer 1 oder Nummer 2, mindestens aber ein Wert von 8 Cent pro Kilowattstunde zugrunde zu legen ist,</w:t>
      </w:r>
    </w:p>
    <w:p>
      <w:pPr>
        <w:ind w:left="420"/>
      </w:pPr>
      <w:r>
        <w:t xml:space="preserve">3. sich der Sicherheitszuschlag nach § 16 Absatz 1 und 3 auf 1 Cent pro Kilowattstunde verringert; § 16 Absatz 3 Nummer 1 ist nicht anzuwenden.</w:t>
      </w:r>
    </w:p>
    <w:p>
      <w:r>
        <w:t xml:space="preserve">(2) Soweit der Betreiber einer Stromerzeugungsanlage, die ab dem 1. November 2022 in Betrieb genommen worden ist, gegenüber dem Netzbetreiber eine Meldung nach § 29 Absatz 1 Nummer 4 Buchstabe c abgibt, ist Absatz 1 entsprechend anzuwenden.</w:t>
      </w:r>
    </w:p>
    <w:p>
      <w:r>
        <w:t xml:space="preserve">(3) Die Absätze 1 und 2 sind nicht anzuwenden für anlagenbezogene Vermarktungsverträge, die unter Gesamtschuldnern nach § 15 Absatz 2 geschlossen sind. Soweit ein Gesamtschuldner den an ihn überlassenen Strom an einen Dritten mit einem anlagenbezogenen Vermarktungsvertrag weitervermarktet hat, ist Absatz 1 entsprechend anzuwenden, wenn der Betreiber der Stromerzeugungsanlage den anlagenbezogenen Vermarktungsvertrag nach § 29 Absatz 1 Nummer 4 Buchstabe c Doppelbuchstabe hh gemeldet hat.</w:t>
      </w:r>
    </w:p>
    <w:p>
      <w:r>
        <w:rPr>
          <w:color w:val="555555"/>
          <w:sz w:val="17"/>
        </w:rPr>
        <w:t xml:space="preserve">Zitiervorschlag: § 18 StromPBG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https://recht.nulegal.eu/gesetze/StromPBG/18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18 StromPBG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