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StromPBG — Ergebnis aus Absicherungsgeschäften</w:t>
      </w:r>
    </w:p>
    <w:p>
      <w:r>
        <w:rPr>
          <w:color w:val="555555"/>
          <w:sz w:val="18"/>
        </w:rPr>
        <w:t xml:space="preserve">Strompreisbremsegesetz</w:t>
      </w:r>
    </w:p>
    <w:p>
      <w:r>
        <w:rPr>
          <w:color w:val="555555"/>
          <w:sz w:val="18"/>
        </w:rPr>
        <w:t xml:space="preserve">Stand: 24.12.2022 (konsolidierte Textfassung, kein amtliches Inkrafttretensdatum)</w:t>
      </w:r>
    </w:p>
    <w:p>
      <w:r>
        <w:t xml:space="preserve">Der nach § 16 ermittelte Überschusserlös jeder Stromerzeugungsanlage wird um das Ergebnis aus Absicherungsgeschäften für die Stromerzeugungsanlage im Abrechnungszeitraum korrigiert</w:t>
      </w:r>
    </w:p>
    <w:p>
      <w:pPr>
        <w:ind w:left="420"/>
      </w:pPr>
      <w:r>
        <w:t xml:space="preserve">1. im Fall von Absicherungsgeschäften, die vor dem 1. November 2022 abgeschlossen worden sind, nach Maßgabe von Anlage 4, wenn der Betreiber der Stromerzeugungsanlage</w:t>
      </w:r>
    </w:p>
    <w:p>
      <w:pPr>
        <w:ind w:left="780"/>
      </w:pPr>
      <w:r>
        <w:t xml:space="preserve">a) Absicherungsgeschäfte dem regelzonenverantwortlichen Übertragungsnetzbetreiber nach § 29 Absatz 1 Nummer 4 Buchstabe a gemeldet hat,</w:t>
      </w:r>
    </w:p>
    <w:p>
      <w:pPr>
        <w:ind w:left="780"/>
      </w:pPr>
      <w:r>
        <w:t xml:space="preserve">b) einer Abrechnung nach dieser Nummer auch in zukünftigen Abrechnungszeiträumen gegenüber dem regelzonenverantwortlichen Übertragungsnetzbetreiber zugestimmt hat,</w:t>
      </w:r>
    </w:p>
    <w:p>
      <w:pPr>
        <w:ind w:left="780"/>
      </w:pPr>
      <w:r>
        <w:t xml:space="preserve">c) sich gegenüber dem regelzonenverantwortlichen Übertragungsnetzbetreiber verpflichtet hat, die nach § 29 Absatz 1 Nummer 4 Buchstabe a erforderlichen Erklärungen zu den Absicherungsgeschäften für die folgenden Abrechnungszeiträume fristgerecht und vollständig abzugeben, und</w:t>
      </w:r>
    </w:p>
    <w:p>
      <w:pPr>
        <w:ind w:left="780"/>
      </w:pPr>
      <w:r>
        <w:t xml:space="preserve">d) gegenüber dem regelzonenverantwortlichen Übertragungsnetzbetreiber die Erklärung nach § 29 Absatz 1 Nummer 5 abgegeben hat oder</w:t>
      </w:r>
    </w:p>
    <w:p>
      <w:pPr>
        <w:ind w:left="420"/>
      </w:pPr>
      <w:r>
        <w:t xml:space="preserve">2. im Fall von Absicherungsgeschäften, die nach dem 31. Oktober 2022 abgeschlossen worden sind, nach Maßgabe von Anlage 5, wenn der Betreiber der Stromerzeugungsanlage die Absicherungsgeschäfte der Bundesnetzagentur nach § 29 Absatz 3 gemeldet hat.</w:t>
      </w:r>
    </w:p>
    <w:p>
      <w:r>
        <w:rPr>
          <w:color w:val="555555"/>
          <w:sz w:val="17"/>
        </w:rPr>
        <w:t xml:space="preserve">Zitiervorschlag: § 17 StromPBG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https://recht.nulegal.eu/gesetze/StromPBG/17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