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StromPBG — Überschusserlöse</w:t>
      </w:r>
    </w:p>
    <w:p>
      <w:r>
        <w:rPr>
          <w:color w:val="555555"/>
          <w:sz w:val="18"/>
        </w:rPr>
        <w:t xml:space="preserve">Strompreisbremsegesetz</w:t>
      </w:r>
    </w:p>
    <w:p>
      <w:r>
        <w:rPr>
          <w:color w:val="555555"/>
          <w:sz w:val="18"/>
        </w:rPr>
        <w:t xml:space="preserve">Stand: 24.12.2022 (konsolidierte Textfassung, kein amtliches Inkrafttretensdatum)</w:t>
      </w:r>
    </w:p>
    <w:p>
      <w:r>
        <w:t xml:space="preserve">(1) Überschusserlöse werden vorbehaltlich der §§ 17 und 18 unwiderleglich vermutet, wenn die Spotmarkterlöse in einem Kalendermonat oder im Fall von Windenergieanlagen und Solaranlagen die kalendermonatlichen Erlöse auf der Basis des energieträgerspezifischen Monatsmarktwertes nach Anlage 1 Nummer 3.3 des Erneuerbare-Energien-Gesetzes in Summe übersteigen:</w:t>
      </w:r>
    </w:p>
    <w:p>
      <w:pPr>
        <w:ind w:left="420"/>
      </w:pPr>
      <w:r>
        <w:t xml:space="preserve">1. bei Erneuerbare-Energien-Anlagen, soweit ihr Strom in der Veräußerungsform der Marktprämie direkt vermarktet wird, das Produkt aus der erzeugten und eingespeisten Strommenge und dem anzulegenden Wert, der für den in diesem Kalendermonat eingespeisten Strom nach der für die Stromerzeugungsanlage maßgeblichen Fassung des Erneuerbare-Energien-Gesetzes gilt, zuzüglich eines Sicherheitszuschlags von 3 Cent pro Kilowattstunde,</w:t>
      </w:r>
    </w:p>
    <w:p>
      <w:pPr>
        <w:ind w:left="420"/>
      </w:pPr>
      <w:r>
        <w:t xml:space="preserve">2. bei Erneuerbare-Energien-Anlagen, soweit ihr Strom in der sonstigen Direktvermarktung vermarktet wird,</w:t>
      </w:r>
    </w:p>
    <w:p>
      <w:pPr>
        <w:ind w:left="780"/>
      </w:pPr>
      <w:r>
        <w:t xml:space="preserve">a) das Produkt aus der erzeugten Strommenge und dem anzulegenden Wert, der für den in diesem Kalendermonat erzeugten und eingespeisten Strom nach der für die Stromerzeugungsanlage maßgeblichen Fassung des Erneuerbare-Energien-Gesetzes im Fall eines Wechsels in die Veräußerungsform der Marktprämie gelten würde, zuzüglich eines Sicherheitszuschlags von 3 Cent pro Kilowattstunde, oder</w:t>
      </w:r>
    </w:p>
    <w:p>
      <w:pPr>
        <w:ind w:left="780"/>
      </w:pPr>
      <w:r>
        <w:t xml:space="preserve">b) das Produkt aus der erzeugten und eingespeisten Strommenge und dem Wert von 10 Cent pro Kilowattstunde zuzüglich eines Sicherheitszuschlags von 3 Cent pro Kilowattstunde, wenn für den Strom aus dieser Stromerzeugungsanlage in dem betreffenden Kalendermonat kein anzulegender Wert bestimmt oder bestimmbar ist, dabei verringert sich der Sicherheitszuschlag auf null, wenn es sich um Strom aus einer ausgeförderten Erneuerbare-Energien-Anlage im Sinn des § 3 Nummer 3a des Erneuerbare-Energien-Gesetzes handelt,</w:t>
      </w:r>
    </w:p>
    <w:p>
      <w:pPr>
        <w:ind w:left="420"/>
      </w:pPr>
      <w:r>
        <w:t xml:space="preserve">3. bei Stromerzeugungsanlagen, die Strom auf der Basis von Kernenergie erzeugen, das Produkt aus der erzeugten und einspeisten Strommenge und dem Wert von</w:t>
      </w:r>
    </w:p>
    <w:p>
      <w:pPr>
        <w:ind w:left="780"/>
      </w:pPr>
      <w:r>
        <w:t xml:space="preserve">a) 4 Cent pro Kilowattstunde für Strom, der nach dem 30. November 2022 und vor dem 1. Januar 2023 erzeugt und eingespeist worden ist, oder</w:t>
      </w:r>
    </w:p>
    <w:p>
      <w:pPr>
        <w:ind w:left="780"/>
      </w:pPr>
      <w:r>
        <w:t xml:space="preserve">b) 9 Cent pro Kilowattstunde für Strom, der nach dem 31. Dezember 2022 und vor dem 16. April 2023 erzeugt und eingespeist worden ist, dabei erhöht sich dieser Wert um 2 Cent pro Kilowattstunde, wenn der Betreiber der Stromerzeugungsanlage nachweist, dass aufgrund des Weiterbetriebs nach § 7 Absatz 1e des Atomgesetzes in diesem Zeitraum die Dekontaminationsarbeiten am Primärkreislauf hinsichtlich seines weiterbetriebenen Kernkraftwerks verschoben werden müssen und diese Arbeiten vor dem 1. November 2022 für diesen Zeitraum vertraglich vereinbart worden waren,</w:t>
      </w:r>
    </w:p>
    <w:p>
      <w:pPr>
        <w:ind w:left="420"/>
      </w:pPr>
      <w:r>
        <w:t xml:space="preserve">zuzüglich eines Sicherheitszuschlags von 3 Cent pro Kilowattstunde,</w:t>
      </w:r>
    </w:p>
    <w:p>
      <w:pPr>
        <w:ind w:left="420"/>
      </w:pPr>
      <w:r>
        <w:t xml:space="preserve">4. bei Stromerzeugungsanlagen, die Strom auf der Basis von Abfall oder Torf erzeugen und die keine Erneuerbare-Energien-Anlagen sind, das Produkt aus der erzeugten und eingespeisten Strommenge und dem Wert von 7 Cent pro Kilowattstunde zuzüglich eines Sicherheitszuschlags von 3 Cent pro Kilowattstunde,</w:t>
      </w:r>
    </w:p>
    <w:p>
      <w:pPr>
        <w:ind w:left="420"/>
      </w:pPr>
      <w:r>
        <w:t xml:space="preserve">5. bei Stromerzeugungsanlagen, die Strom auf der Basis von Braunkohle erzeugen, das Produkt aus der erzeugten und eingespeisten Strommenge und der Summe aus dem Fixkostendeckungsbeitrag nach Buchstabe a oder Buchstabe b, den spezifischen Kohlendioxid-Kosten nach Anlage 3 und einem Sicherheitszuschlag von 3 Cent pro Kilowattstunde; der Fixkostendeckungsbeitrag hat einen Wert von</w:t>
      </w:r>
    </w:p>
    <w:p>
      <w:pPr>
        <w:ind w:left="780"/>
      </w:pPr>
      <w:r>
        <w:t xml:space="preserve">a) 5 Cent pro Kilowattstunde für Stromerzeugungsanlagen, deren endgültiges Stilllegungsdatum nach Anlage 2 des Kohleverstromungsbeendigungsgesetzes mit dem Gesetz zur Beschleunigung des Braunkohleausstiegs im Rheinischen Revier vom 31. Dezember 2038 auf den 31. März 2030 vorgezogen wurde, und</w:t>
      </w:r>
    </w:p>
    <w:p>
      <w:pPr>
        <w:ind w:left="780"/>
      </w:pPr>
      <w:r>
        <w:t xml:space="preserve">b) 3 Cent pro Kilowattstunde für alle anderen Stromerzeugungsanlagen,</w:t>
      </w:r>
    </w:p>
    <w:p>
      <w:pPr>
        <w:ind w:left="420"/>
      </w:pPr>
      <w:r>
        <w:t xml:space="preserve">6. bei Stromerzeugungsanlagen, die Strom auf der Basis von Mineralölprodukten, soweit diese nicht nach § 13 Absatz 3 Nummer 1 ausgenommen sind, erzeugen, das Produkt aus der erzeugten und eingespeisten Strommenge und dem Wert von 25 Cent pro Kilowattstunde zuzüglich eines Sicherheitszuschlags von 3 Cent pro Kilowattstunde und</w:t>
      </w:r>
    </w:p>
    <w:p>
      <w:pPr>
        <w:ind w:left="420"/>
      </w:pPr>
      <w:r>
        <w:t xml:space="preserve">7. bei sonstigen Stromerzeugungsanlagen, deren Strom direkt vermarktet wird, das Produkt aus der erzeugten und eingespeisten Strommenge und dem Wert von 10 Cent pro Kilowattstunde zuzüglich eines Sicherheitszuschlags von 3 Cent pro Kilowattstunde.</w:t>
      </w:r>
    </w:p>
    <w:p>
      <w:r>
        <w:t xml:space="preserve">(2) Die eingespeiste Strommenge ist um Anpassungen der Einspeisung nach § 13a Absatz 1 und § 14 Absatz 1 und 1c des Energiewirtschaftsgesetzes zu korrigieren.</w:t>
      </w:r>
    </w:p>
    <w:p>
      <w:r>
        <w:t xml:space="preserve">(3) Bei Windenergieanlagen und Solaranlagen ist Absatz 1 mit folgenden Maßgaben anzuwenden:</w:t>
      </w:r>
    </w:p>
    <w:p>
      <w:pPr>
        <w:ind w:left="420"/>
      </w:pPr>
      <w:r>
        <w:t xml:space="preserve">1. der Sicherheitszuschlag nach Absatz 1 Nummer 1 und 2 erhöht sich um 6 Prozent des Mittelwerts des jeweiligen energieträgerspezifischen Monatsmarktwerts nach Anlage 1 Nummer 3.3 des Erneuerbare-Energien-Gesetzes für alle Stunden des betreffenden Monats,</w:t>
      </w:r>
    </w:p>
    <w:p>
      <w:pPr>
        <w:ind w:left="420"/>
      </w:pPr>
      <w:r>
        <w:t xml:space="preserve">2. der Betreiber der Stromerzeugungsanlage kann ferner im Rahmen der Meldung nach § 29 Absatz 1 Nummer 4 den Überschusserlös nach Absatz 1, der für die jeweilige Stunde berechnet wird, für diese Stunde bei der Abrechnung auf den Spotmarktpreis abzüglich 0,4 Cent pro Kilowattstunde begrenzen,</w:t>
      </w:r>
    </w:p>
    <w:p>
      <w:pPr>
        <w:ind w:left="420"/>
      </w:pPr>
      <w:r>
        <w:t xml:space="preserve">3. bei Windenergieanlagen auf See wird der anzulegende Wert nach Absatz 1 Nummer 1 oder Nummer 2 Buchstabe a, mindestens aber ein Wert von 10 Cent pro Kilowattstunde zugrunde gelegt, zuzüglich des Sicherheitszuschlags von 3 Cent pro Kilowattstunde; die Nummern 1 und 2 bleiben unberührt.</w:t>
      </w:r>
    </w:p>
    <w:p>
      <w:r>
        <w:t xml:space="preserve">(4) Bei Biogasanlagen ist Absatz 1 mit der Maßgabe anzuwenden, dass der Sicherheitszuschlag nach Absatz 1 Nummer 1 und 2 Buchstabe a 9 Cent pro Kilowattstunde beträgt.</w:t>
      </w:r>
    </w:p>
    <w:p>
      <w:r>
        <w:t xml:space="preserve">(5) Bei Stromerzeugungsanlagen, die Strom ausschließlich auf der Basis von Altholz mit Ausnahme von Industrierestholz erzeugen, ist Absatz 1 mit der Maßgabe anzuwenden, dass der Sicherheitszuschlag nach Absatz 1 Nummer 1 und 2 7 Cent pro Kilowattstunde beträgt.</w:t>
      </w:r>
    </w:p>
    <w:p>
      <w:r>
        <w:t xml:space="preserve">(6) Bei Erneuerbare-Energien-Anlagen, die in einer Ausschreibung nach der Innovationsausschreibungsverordnung in einem Gebotstermin vor dem 1. Dezember 2022 einen Zuschlag erhalten haben, ist Absatz 1 mit der Maßgabe anzuwenden, dass für die Berechnung der Überschusserlöse abweichend von Absatz 1 Nummer 1 oder Nummer 2 Buchstabe a das Produkt aus den in dem betreffenden Kalendermonat erzeugten und eingespeisten Kilowattstunden und dem Wert von 10 Cent pro Kilowattstunde zuzüglich der fixen Marktprämie in der bezuschlagten Höhe und eines Sicherheitszuschlags von 1 Cent pro Kilowattstunde zugrunde zu legen ist.</w:t>
      </w:r>
    </w:p>
    <w:p>
      <w:r>
        <w:rPr>
          <w:color w:val="555555"/>
          <w:sz w:val="17"/>
        </w:rPr>
        <w:t xml:space="preserve">Zitiervorschlag: § 16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