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11a StromPBG — Verfahren der Feststellung der anzuwendenden Höchstgrenzen bei Schienenbahnen</w:t>
      </w:r>
    </w:p>
    <w:p>
      <w:r>
        <w:rPr>
          <w:color w:val="555555"/>
          <w:sz w:val="18"/>
        </w:rPr>
        <w:t xml:space="preserve">Strompreisbremsegesetz</w:t>
      </w:r>
    </w:p>
    <w:p>
      <w:r>
        <w:rPr>
          <w:color w:val="555555"/>
          <w:sz w:val="18"/>
        </w:rPr>
        <w:t xml:space="preserve">Stand: 03.08.2023 (konsolidierte Textfassung, kein amtliches Inkrafttretensdatum)</w:t>
      </w:r>
    </w:p>
    <w:p>
      <w:r>
        <w:t xml:space="preserve">(1) Auf Antrag einer Schienenbahn stellt die Prüfbehörde netzentnahmestellenbezogen die für die Schienenbahn anzuwendende Höchstgrenze nach § 10 Satz 2 einschließlich der für sie anzusetzenden entlastungsfähigen krisenbedingten Energiemehrkosten fest.</w:t>
      </w:r>
    </w:p>
    <w:p>
      <w:r>
        <w:t xml:space="preserve">(2) Jede Schienenbahn ist verpflichtet, bei der Prüfbehörde einen entsprechenden Antrag nach Absatz 1 zu stellen.</w:t>
      </w:r>
    </w:p>
    <w:p>
      <w:r>
        <w:t xml:space="preserve">(3) Dem Antrag nach Absatz 2 sind folgende Nachweise beizufügen:</w:t>
      </w:r>
    </w:p>
    <w:p>
      <w:pPr>
        <w:ind w:left="420"/>
      </w:pPr>
      <w:r>
        <w:t xml:space="preserve">1. Energielieferverträge und Energierechnungen für Energielieferungen</w:t>
      </w:r>
    </w:p>
    <w:p>
      <w:pPr>
        <w:ind w:left="780"/>
      </w:pPr>
      <w:r>
        <w:t xml:space="preserve">a) für das Kalenderjahr 2021 und</w:t>
      </w:r>
    </w:p>
    <w:p>
      <w:pPr>
        <w:ind w:left="780"/>
      </w:pPr>
      <w:r>
        <w:t xml:space="preserve">b) für den Zeitraum zwischen dem 1. Februar 2022 und dem Ablauf des 31. Dezember 2023 und</w:t>
      </w:r>
    </w:p>
    <w:p>
      <w:pPr>
        <w:ind w:left="420"/>
      </w:pPr>
      <w:r>
        <w:t xml:space="preserve">2. der Prüfvermerk eines Prüfers zu</w:t>
      </w:r>
    </w:p>
    <w:p>
      <w:pPr>
        <w:ind w:left="780"/>
      </w:pPr>
      <w:r>
        <w:t xml:space="preserve">a) den Energiebeschaffungskosten der Schienenbahn und</w:t>
      </w:r>
    </w:p>
    <w:p>
      <w:pPr>
        <w:ind w:left="780"/>
      </w:pPr>
      <w:r>
        <w:t xml:space="preserve">b) Angaben zu den Strommengen nach § 6 Satz 2 Nummer 3 Buchstabe a oder Buchstabe b und zu den durchschnittlichen Kosten nach Nummer 1.</w:t>
      </w:r>
    </w:p>
    <w:p>
      <w:r>
        <w:t xml:space="preserve">Die Prüfbehörde kann weitergehende Informationen, die zur Feststellung der jeweiligen relativen Höchstgrenze nach § 10 Satz 2 dienlich sind, bei der Schienenbahn und bei deren Elektrizitätsversorgungsunternehmen anfordern.</w:t>
      </w:r>
    </w:p>
    <w:p>
      <w:r>
        <w:t xml:space="preserve">(4) Abweichend von Absatz 3 hat eine Schienenbahn, die in den Kalenderjahren 2022 und 2023 erstmals eine Schienenverkehrsleistung im Schienenpersonenfernverkehr, Schienenpersonennahverkehr oder im Schienengüterverkehr erbracht hat, ihrem Antrag nach Absatz 2 folgende Nachweise beizufügen:</w:t>
      </w:r>
    </w:p>
    <w:p>
      <w:pPr>
        <w:ind w:left="420"/>
      </w:pPr>
      <w:r>
        <w:t xml:space="preserve">1. Energielieferverträge und vorhandene Energierechnungen für das Kalenderjahr 2023</w:t>
      </w:r>
    </w:p>
    <w:p>
      <w:pPr>
        <w:ind w:left="420"/>
      </w:pPr>
      <w:r>
        <w:t xml:space="preserve">2. den Prüfvermerk eines Prüfers zu</w:t>
      </w:r>
    </w:p>
    <w:p>
      <w:pPr>
        <w:ind w:left="780"/>
      </w:pPr>
      <w:r>
        <w:t xml:space="preserve">a) den Energiebeschaffungskosten der Schienenbahn und</w:t>
      </w:r>
    </w:p>
    <w:p>
      <w:pPr>
        <w:ind w:left="780"/>
      </w:pPr>
      <w:r>
        <w:t xml:space="preserve">b) Angaben zu den Strommengen und zu den durchschnittlichen Kosten nach Nummer 1.</w:t>
      </w:r>
    </w:p>
    <w:p>
      <w:r>
        <w:t xml:space="preserve">Absatz 3 Satz 2 ist entsprechend anzuwenden.</w:t>
      </w:r>
    </w:p>
    <w:p>
      <w:r>
        <w:t xml:space="preserve">(5) Die Prüfbehörde gibt den Bescheid nach Absatz 1 gegenüber der Schienenbahn, ihren Elektrizitätsversorgungsunternehmen und den regelzonenverantwortlichen Übertragungsnetzbetreibern bekannt.</w:t>
      </w:r>
    </w:p>
    <w:p>
      <w:r>
        <w:t xml:space="preserve">(6) Soweit die Feststellungen der Prüfbehörde nach Absatz 1 von den Angaben der Schienenbahn in der Selbsterklärung nach § 30a Absatz 1 abweichen, hat die Prüfbehörde in ihrem Bescheid auch die Geltendmachung des Rückforderungsanspruchs nach § 12 Absatz 2a dieses Gesetzes oder § 20 Absatz 1a des Erdgas-Wärme-Preisbremsengesetzes sowie die Korrektur dieser Abweichung mit der Jahresendabrechnung nach § 12 Absatz 3 anzuordnen. Zudem ist die Schienenbahn in diesem Fall verpflichtet, innerhalb eines Monats nach Bekanntgabe des Bescheides und unter Beachtung der behördlich festgestellten Höchstgrenzen eine Selbsterklärung nach § 30a Absatz 2 abzugeben. Kommt die Schienenbahn ihrer Pflicht nach Satz 2 nicht fristgerecht nach, so stellen die Elektrizitätsversorgungsunternehmen die Gewährung von Entlastungen bis zur Abgabe der Selbsterklärung ein. Im Fall des Satzes 2 ist im Bescheid nach Absatz 1 auf die Rechtsfolgen nach den Sätzen 2 und 3 hinzuweisen. § 12 Absatz 4 bleibt unberührt.</w:t>
      </w:r>
    </w:p>
    <w:p>
      <w:r>
        <w:t xml:space="preserve">(7) Widerspruch und Anfechtungsklage gegen die Feststellungen und Anordnungen nach dieser Vorschrift haben keine aufschiebende Wirkung.</w:t>
      </w:r>
    </w:p>
    <w:p>
      <w:r>
        <w:rPr>
          <w:color w:val="555555"/>
          <w:sz w:val="17"/>
        </w:rPr>
        <w:t xml:space="preserve">Zitiervorschlag: § 11a StromPBG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https://recht.nulegal.eu/gesetze/StromPBG/11a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