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StromPBG — Höchstgrenzen bei Schienenbahnen</w:t>
      </w:r>
    </w:p>
    <w:p>
      <w:r>
        <w:rPr>
          <w:color w:val="555555"/>
          <w:sz w:val="18"/>
        </w:rPr>
        <w:t xml:space="preserve">Strompreisbremsegesetz</w:t>
      </w:r>
    </w:p>
    <w:p>
      <w:r>
        <w:rPr>
          <w:color w:val="555555"/>
          <w:sz w:val="18"/>
        </w:rPr>
        <w:t xml:space="preserve">Stand: 03.08.2023 (konsolidierte Textfassung, kein amtliches Inkrafttretensdatum)</w:t>
      </w:r>
    </w:p>
    <w:p>
      <w:r>
        <w:t xml:space="preserve">Für Schienenbahnen ist § 9 nicht anzuwenden. Der Entlastungsbetrag für Schienenbahnen darf höchstens 90 Prozent der krisenbedingten Energiemehrkosten einer Schienenbahn betragen. Bestimmt sich das Entlastungskontingent für Schienenbahnen nach § 6 Satz 2 Nummer 3 Buchstabe a anhand des im Jahr 2021 verbrauchten Stromverbrauchs, dann erfolgt die Berechnung der krisenbedingten Energiemehrkosten nach der Anlage 1 mit der Maßgabe, dass abweichend von Anlage 1 Nummer 1 letzte Tabellenzeile der Wert ab dem Monat September 2022 auf 90 Prozent zu begrenzen ist. Bestimmt sich das Entlastungskontingent für Schienenbahnen entsprechend § 6 Nummer 3 Buchstabe b anhand des für das Jahr 2023 prognostizierten Stromverbrauchs, dann erfolgt die Berechnung der krisenbedingten Energiemehrkosten mit der Maßgabe, dass abweichend von Anlage 1 Nummer 1 letzte Tabellenzeile der für den jeweiligen Monat im Jahr 2023 gemäß § 6 Satz 2 Nummer 3 Buchstabe b prognostizierte Stromverbrauch von Bahnstrom anzusetzen ist und der Wert ab dem Monat September 2022 auf 90 Prozent zu begrenzen ist. Für Schienenbahnen, die im Jahr 2021 keinen Strom verbraucht haben, ist abweichend von Anlage 1 Nummer 1 vorletzte Tabellenzeile der von der Bundesnetzagentur für das Jahr 2021 ermittelte Durchschnittspreis für Bahnstrom im Eisenbahnmarkt in Höhe von 6,36 Cent pro Kilowattstunde anzusetzen. Die für die jeweilige Netzentnahmestelle einer Schienenbahn pro Kalendermonat anzuwendende Höchstgrenze beträgt 0 Euro, wenn eine Schienenbahn bis zum Ablauf des 31. Mai 2024 keine Mitteilung nach § 30a Absatz 2 abgegeben hat.</w:t>
      </w:r>
    </w:p>
    <w:p>
      <w:r>
        <w:rPr>
          <w:color w:val="555555"/>
          <w:sz w:val="17"/>
        </w:rPr>
        <w:t xml:space="preserve">Zitiervorschlag: § 10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