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StromNZV</w:t>
      </w:r>
    </w:p>
    <w:p>
      <w:r>
        <w:rPr>
          <w:color w:val="555555"/>
          <w:sz w:val="18"/>
        </w:rPr>
        <w:t xml:space="preserve">Stromnetzzugangsverordnung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Auf Grund des § 21b Abs. 3 Satz 1 in Verbindung mit Satz 3, des § 24 Satz 1 Nr. 1 und 2 in Verbindung mit Satz 2 Nr. 1, 2 und 3 sowie Satz 3, Satz 1 Nr. 1 auch in Verbindung mit § 21b Abs. 3 Satz 1 und 3, und des § 29 Abs. 3 des Energiewirtschaftsgesetzes vom 7. Juli 2005 (BGBl. I S. 1970) verordnet die Bundesregierung:</w:t>
      </w:r>
    </w:p>
    <w:p>
      <w:r>
        <w:rPr>
          <w:color w:val="555555"/>
          <w:sz w:val="17"/>
        </w:rPr>
        <w:t xml:space="preserve">Zitiervorschlag: Eingangsformel StromNZV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