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StromNZV — Erbringung von Regelenergie</w:t>
      </w:r>
    </w:p>
    <w:p>
      <w:r>
        <w:rPr>
          <w:color w:val="555555"/>
          <w:sz w:val="18"/>
        </w:rPr>
        <w:t xml:space="preserve">Stromnetzzugangsverordnung</w:t>
      </w:r>
    </w:p>
    <w:p>
      <w:r>
        <w:rPr>
          <w:color w:val="555555"/>
          <w:sz w:val="18"/>
        </w:rPr>
        <w:t xml:space="preserve">Historische Fassung: Stand 10.06.2019 bis 01.01.2026. Dies ist nicht die aktuelle Fassung.</w:t>
      </w:r>
    </w:p>
    <w:p>
      <w:r>
        <w:t xml:space="preserve">Die Regelenergiearten Primärregelung, Sekundärregelung und Minutenreserve sowie sonstige beschaffte und eingesetzte Regelenergieprodukte sind entsprechend den Ausschreibungsergebnissen auf Grundlage der Angebotskurven beginnend mit dem jeweils günstigsten Angebot von den jeweiligen Betreibern von Übertragungsnetzen einzusetzen. Bei Netzeinschränkungen kann von den Angebotskurven abgewichen werden, wenn die Netzeinschränkungen begründet dargelegt werden können.</w:t>
      </w:r>
    </w:p>
    <w:p>
      <w:r>
        <w:rPr>
          <w:color w:val="555555"/>
          <w:sz w:val="17"/>
        </w:rPr>
        <w:t xml:space="preserve">Zitiervorschlag: § 7 StromNZV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https://recht.nulegal.eu/gesetze/StromNZV/7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