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StromNZV — Grundlagen des Netzzugangs</w:t>
      </w:r>
    </w:p>
    <w:p>
      <w:r>
        <w:rPr>
          <w:color w:val="555555"/>
          <w:sz w:val="18"/>
        </w:rPr>
        <w:t xml:space="preserve">Stromnetzzugangsverordnung</w:t>
      </w:r>
    </w:p>
    <w:p>
      <w:r>
        <w:rPr>
          <w:color w:val="555555"/>
          <w:sz w:val="18"/>
        </w:rPr>
        <w:t xml:space="preserve">Historische Fassung: Stand 04.08.2021 bis 01.01.2026. Dies ist nicht die aktuelle Fassung.</w:t>
      </w:r>
    </w:p>
    <w:p>
      <w:r>
        <w:t xml:space="preserve">Der Anspruch auf Netznutzung wird begrenzt durch die jeweiligen Kapazitäten der Elektrizitätsversorgungsnetze. Betreiber von Elektrizitätsversorgungsnetzen werden durch Netznutzungs- und Lieferantenrahmenverträge nicht gehindert, Änderungen an der Ausgestaltung ihrer Netze vorzunehmen. Die §§ 14 und 17 bleiben unberührt.</w:t>
      </w:r>
    </w:p>
    <w:p>
      <w:r>
        <w:rPr>
          <w:color w:val="555555"/>
          <w:sz w:val="17"/>
        </w:rPr>
        <w:t xml:space="preserve">Zitiervorschlag: § 3 StromNZV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