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StromNZV — Ordnungswidrigkeiten</w:t>
      </w:r>
    </w:p>
    <w:p>
      <w:r>
        <w:rPr>
          <w:color w:val="555555"/>
          <w:sz w:val="18"/>
        </w:rPr>
        <w:t xml:space="preserve">Stromnetzzugangsverordnung</w:t>
      </w:r>
    </w:p>
    <w:p>
      <w:r>
        <w:rPr>
          <w:color w:val="555555"/>
          <w:sz w:val="18"/>
        </w:rPr>
        <w:t xml:space="preserve">Historische Fassung: Stand 04.01.2024 bis 01.01.2026. Dies ist nicht die aktuelle Fassung.</w:t>
      </w:r>
    </w:p>
    <w:p>
      <w:r>
        <w:t xml:space="preserve">Ordnungswidrig im Sinne des § 95 Abs. 1 Nr. 5 Buchstabe b des Energiewirtschaftsgesetzes handelt, wer vorsätzlich oder fahrlässig einer vollziehbaren Anordnung nach § 27 Abs. 1 Nr. 1, 3, 7, 9, 15, 16, 17 oder 18 oder § 28 Abs. 1 Satz 2 zuwiderhandelt.</w:t>
      </w:r>
    </w:p>
    <w:p>
      <w:r>
        <w:rPr>
          <w:color w:val="555555"/>
          <w:sz w:val="17"/>
        </w:rPr>
        <w:t xml:space="preserve">Zitiervorschlag: § 29 StromNZV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https://recht.nulegal.eu/gesetze/StromNZV/29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