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StromNZV — Standardangebote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Zur Verwirklichung eines effizienten Netzzugangs und der in § 1 Abs. 1 des Energiewirtschaftsgesetzes genannten Zwecke kann die Regulierungsbehörde weitere Festlegungen gegenüber Betreibern von Elektrizitätsversorgungsnetzen zur Vereinheitlichung der Vertragspflichten aus den in den §§ 23 bis 26 genannten Verträgen treffen. Die Regulierungsbehörde kann Betreiber von Elektrizitätsversorgungsnetzen auffordern, ihr innerhalb einer von der Regulierungsbehörde bestimmten, angemessenen Frist einen Vorschlag für ein Standardangebot für Verträge nach den §§ 23 bis 26 vorzulegen. Sie kann in dieser Aufforderung Vorgaben für die Ausgestaltung einzelner Bedingungen machen. Das Standardangebot muss so umfassend sein, dass es von den einzelnen Nachfragern ohne weitere Verhandlungen angenommen werden kann.</w:t>
      </w:r>
    </w:p>
    <w:p>
      <w:r>
        <w:t xml:space="preserve">(2) Die Regulierungsbehörde prüft die vorgelegten Standardangebote und gibt tatsächlichen oder potenziellen Nachfragern sowie Betreibern von Elektrizitätsversorgungsnetzen in geeigneter Form Gelegenheit zur Stellungnahme.</w:t>
      </w:r>
    </w:p>
    <w:p>
      <w:r>
        <w:t xml:space="preserve">(3) Sie kann unter Berücksichtigung der Stellungnahmen Änderungen der Standardangebote vornehmen, insbesondere soweit Vorgaben für einzelne Bedingungen nicht umgesetzt worden sind. Sie kann Standardangebote mit einer Mindestlaufzeit versehen.</w:t>
      </w:r>
    </w:p>
    <w:p>
      <w:r>
        <w:t xml:space="preserve">(4) Die Regulierungsbehörde macht die Festlegungsentscheidungen in ihrem Amtsblatt öffentlich bekannt und veröffentlicht sie im Internet. Im Übrigen gelten die Verfahrensbestimmungen des Energiewirtschaftsgesetzes.</w:t>
      </w:r>
    </w:p>
    <w:p>
      <w:r>
        <w:t xml:space="preserve">(5) Für Änderungen des Standardangebotes nach § 29 Abs. 2 des Energiewirtschaftsgesetzes gelten die Absätze 1 bis 4 entsprechend.</w:t>
      </w:r>
    </w:p>
    <w:p>
      <w:r>
        <w:rPr>
          <w:color w:val="555555"/>
          <w:sz w:val="17"/>
        </w:rPr>
        <w:t xml:space="preserve">Zitiervorschlag: § 28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