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StromNZV — Festlegungen der Regulierungsbehörde</w:t>
      </w:r>
    </w:p>
    <w:p>
      <w:r>
        <w:rPr>
          <w:color w:val="555555"/>
          <w:sz w:val="18"/>
        </w:rPr>
        <w:t xml:space="preserve">Stromnetzzugangsverordnung</w:t>
      </w:r>
    </w:p>
    <w:p>
      <w:r>
        <w:rPr>
          <w:color w:val="555555"/>
          <w:sz w:val="18"/>
        </w:rPr>
        <w:t xml:space="preserve">Historische Fassung: Stand 10.06.2019 bis 01.01.2026. Dies ist nicht die aktuelle Fassung.</w:t>
      </w:r>
    </w:p>
    <w:p>
      <w:r>
        <w:t xml:space="preserve">(1) Zur Verwirklichung eines effizienten Netzzugangs und der in § 1 Abs. 1 des Energiewirtschaftsgesetzes genannten Zwecke kann die Regulierungsbehörde unter Beachtung der Anforderungen eines sicheren Netzbetriebs Entscheidungen durch Festlegungen nach § 29 Abs. 1 des Energiewirtschaftsgesetzes treffen</w:t>
      </w:r>
    </w:p>
    <w:p>
      <w:pPr>
        <w:ind w:left="420"/>
      </w:pPr>
      <w:r>
        <w:t xml:space="preserve">1. zu bilanziellen Abgrenzungsproblemen zwischen Bilanzkreisen im Einzelfall, die im Zusammenhang mit der Bündelung von Regelenergie auftreten;</w:t>
      </w:r>
    </w:p>
    <w:p>
      <w:pPr>
        <w:ind w:left="420"/>
      </w:pPr>
      <w:r>
        <w:t xml:space="preserve">2. zu Verfahren zur Ausschreibung von Regelenergie, insbesondere zu Mindestangebotsgrößen, Ausschreibungszeiträumen und Ausschreibungszeitscheiben, zum technisch notwendigen Anteil nach § 6 Abs. 2 und zu einheitlichen Bedingungen, die Anbieter von Regelenergie erfüllen müssen;</w:t>
      </w:r>
    </w:p>
    <w:p>
      <w:pPr>
        <w:ind w:left="420"/>
      </w:pPr>
      <w:r>
        <w:t xml:space="preserve">3. zum Einsatz von Regelenergie;</w:t>
      </w:r>
    </w:p>
    <w:p>
      <w:pPr>
        <w:ind w:left="420"/>
      </w:pPr>
      <w:r>
        <w:t xml:space="preserve">3a. zur Bildung einer einheitlichen Regelzone;</w:t>
      </w:r>
    </w:p>
    <w:p>
      <w:pPr>
        <w:ind w:left="420"/>
      </w:pPr>
      <w:r>
        <w:t xml:space="preserve">3b. zum Verfahren der Vergütung für Angebote von Regelenergieprodukten nach § 8 Absatz 1 Satz 3; dabei kann sie insbesondere festlegen, dass Regelarbeitspreise und Regelleistungspreise in einem Einheitspreisverfahren bestimmt werden;</w:t>
      </w:r>
    </w:p>
    <w:p>
      <w:pPr>
        <w:ind w:left="420"/>
      </w:pPr>
      <w:r>
        <w:t xml:space="preserve">4. zu Kriterien für missbräuchliche Über- oder Unterspeisung von Bilanzkreisen und deren Abrechnung;</w:t>
      </w:r>
    </w:p>
    <w:p>
      <w:pPr>
        <w:ind w:left="420"/>
      </w:pPr>
      <w:r>
        <w:t xml:space="preserve">5. zum Bilanzkreis und zu den erforderlichen Verfahren zur Messung und Bilanzierung für Energien nach dem Erneuerbare-Energien-Gesetz und zu den bilanziellen Maßnahmen, die erforderlich sind, um sicherzustellen, dass Energien nach dem Erneuerbare-Energien-Gesetz separiert werden von sonstigen Energiearten;</w:t>
      </w:r>
    </w:p>
    <w:p>
      <w:pPr>
        <w:ind w:left="420"/>
      </w:pPr>
      <w:r>
        <w:t xml:space="preserve">6. zum Ausschreibungsverfahren für Verlustenergie nach § 10 und zum Verfahren zur Bestimmung der Netzverluste;</w:t>
      </w:r>
    </w:p>
    <w:p>
      <w:pPr>
        <w:ind w:left="420"/>
      </w:pPr>
      <w:r>
        <w:t xml:space="preserve">7. zu Standardlastprofilen für einzelne Verbrauchsgruppen, Lastprofilen für unterbrechbare Verbrauchseinrichtungen, sonstigen Abwicklungsregelungen für das synthetische Verfahren und zu einheitlichen Anwendungssystemen für das analytische Verfahren;</w:t>
      </w:r>
    </w:p>
    <w:p>
      <w:pPr>
        <w:ind w:left="420"/>
      </w:pPr>
      <w:r>
        <w:t xml:space="preserve">8. zur Bestimmung des einheitlichen Preises und zum Abrechnungsverfahren nach § 13 Abs. 3;</w:t>
      </w:r>
    </w:p>
    <w:p>
      <w:pPr>
        <w:ind w:left="420"/>
      </w:pPr>
      <w:r>
        <w:t xml:space="preserve">9. zur Abwicklung der Netznutzung bei Lieferbeginn und Lieferende;</w:t>
      </w:r>
    </w:p>
    <w:p>
      <w:pPr>
        <w:ind w:left="420"/>
      </w:pPr>
      <w:r>
        <w:t xml:space="preserve">10. zur Bewirtschaftung von Engpässen nach § 15 Abs. 2 und zu deren Veröffentlichung nach § 15 Abs. 4;</w:t>
      </w:r>
    </w:p>
    <w:p>
      <w:pPr>
        <w:ind w:left="420"/>
      </w:pPr>
      <w:r>
        <w:t xml:space="preserve">11. (weggefallen)</w:t>
      </w:r>
    </w:p>
    <w:p>
      <w:pPr>
        <w:ind w:left="420"/>
      </w:pPr>
      <w:r>
        <w:t xml:space="preserve">12. (weggefallen)</w:t>
      </w:r>
    </w:p>
    <w:p>
      <w:pPr>
        <w:ind w:left="420"/>
      </w:pPr>
      <w:r>
        <w:t xml:space="preserve">13. (weggefallen)</w:t>
      </w:r>
    </w:p>
    <w:p>
      <w:pPr>
        <w:ind w:left="420"/>
      </w:pPr>
      <w:r>
        <w:t xml:space="preserve">14. (weggefallen)</w:t>
      </w:r>
    </w:p>
    <w:p>
      <w:pPr>
        <w:ind w:left="420"/>
      </w:pPr>
      <w:r>
        <w:t xml:space="preserve">15. zu den Inhalten der Verträge nach den §§ 24 bis 26, sofern nicht ein Standardangebot festgelegt ist;</w:t>
      </w:r>
    </w:p>
    <w:p>
      <w:pPr>
        <w:ind w:left="420"/>
      </w:pPr>
      <w:r>
        <w:t xml:space="preserve">16. zu Verfahren zur Handhabung und Abwicklung sowie zur Änderung von Fahrplänen nach § 5 durch die Betreiber von Übertragungsnetzen; hierbei kann sie von den Regelungen des § 5 Absatz 1, 2 und 3 abweichen;</w:t>
      </w:r>
    </w:p>
    <w:p>
      <w:pPr>
        <w:ind w:left="420"/>
      </w:pPr>
      <w:r>
        <w:t xml:space="preserve">17. zur Abwicklung des Lieferantenwechsels;</w:t>
      </w:r>
    </w:p>
    <w:p>
      <w:pPr>
        <w:ind w:left="420"/>
      </w:pPr>
      <w:r>
        <w:t xml:space="preserve">18. zu den Kriterien für die Identifizierung von Entnahmestellen; hierbei kann sie von § 14 Absatz 3 abweichen;</w:t>
      </w:r>
    </w:p>
    <w:p>
      <w:pPr>
        <w:ind w:left="420"/>
      </w:pPr>
      <w:r>
        <w:t xml:space="preserve">19. zur Verwaltung und Übermittlung der Stammdaten, die für den massengeschäftstauglichen Netzzugang relevant sind;</w:t>
      </w:r>
    </w:p>
    <w:p>
      <w:pPr>
        <w:ind w:left="420"/>
      </w:pPr>
      <w:r>
        <w:t xml:space="preserve">20. zu Geschäftsprozessen und zum Datenaustausch für die massengeschäftstaugliche Abwicklung der Zuordnung von Einspeiseanlagen zu Händlern und zu Bilanzkreisen;</w:t>
      </w:r>
    </w:p>
    <w:p>
      <w:pPr>
        <w:ind w:left="420"/>
      </w:pPr>
      <w:r>
        <w:t xml:space="preserve">21. zu Preisbildungsmechanismen für Ausgleichsenergiepreise nach § 8 Absatz 2; dabei kann sie insbesondere von den Grundsätzen der Kostenverrechnung, von der Symmetrie der Ausgleichsenergiepreise für Bilanzkreisunterspeisung und Bilanzkreisüberspeisung sowie von den Fristen für die Bilanzkreisabrechnung abweichen;</w:t>
      </w:r>
    </w:p>
    <w:p>
      <w:pPr>
        <w:ind w:left="420"/>
      </w:pPr>
      <w:r>
        <w:t xml:space="preserve">21a. zu den Kriterien, nach denen die Ausgleichsenergie nach § 8 Absatz 1 und 2 durch die Betreiber der Übertragungsnetze abzurechnen ist; dabei kann sie insbesondere festlegen, wie derjenige Teil der Vorhaltung von Regelenergie aus Sekundärregelleistung und Minutenreserveleistung, der dem Verhalten der Bilanzkreisverantwortlichen in ihrer Gesamtheit zuzurechnen ist, von den Betreibern der Übertragungsnetze zu bestimmen und im Rahmen der Bilanzkreisabrechnung abzurechnen ist;</w:t>
      </w:r>
    </w:p>
    <w:p>
      <w:pPr>
        <w:ind w:left="420"/>
      </w:pPr>
      <w:r>
        <w:t xml:space="preserve">22. zu Verfahren und zur Handhabung und Abwicklung der Bilanzierung, Messung und Abrechnung auf Basis von Zählerstandsgängen,</w:t>
      </w:r>
    </w:p>
    <w:p>
      <w:pPr>
        <w:ind w:left="420"/>
      </w:pPr>
      <w:r>
        <w:t xml:space="preserve">23. zu den Regelungen bei der Erbringung von Regelleistung durch einen Letztverbraucher nach § 26a; dabei kann sie insbesondere Festlegungen treffen</w:t>
      </w:r>
    </w:p>
    <w:p>
      <w:pPr>
        <w:ind w:left="780"/>
      </w:pPr>
      <w:r>
        <w:t xml:space="preserve">a) zum Austausch der erforderlichen Informationen zwischen den Beteiligten,</w:t>
      </w:r>
    </w:p>
    <w:p>
      <w:pPr>
        <w:ind w:left="780"/>
      </w:pPr>
      <w:r>
        <w:t xml:space="preserve">b) zur Bilanzierung der Energiemengen,</w:t>
      </w:r>
    </w:p>
    <w:p>
      <w:pPr>
        <w:ind w:left="780"/>
      </w:pPr>
      <w:r>
        <w:t xml:space="preserve">c) zum angemessenen Entgelt für Lieferanten, wobei sie auch pauschale Entgelte festlegen kann; sie kann insbesondere festlegen, dass das Entgelt angemessen ist, wenn</w:t>
      </w:r>
    </w:p>
    <w:p>
      <w:pPr>
        <w:ind w:left="1140"/>
      </w:pPr>
      <w:r>
        <w:t xml:space="preserve">1. der durch die Erbringung von Regelleistung zum Zeitpunkt der Erbringung durch den Letztverbraucher nicht verbrauchte Strom so abgerechnet wird, als ob er geliefert worden wäre, und</w:t>
      </w:r>
    </w:p>
    <w:p>
      <w:pPr>
        <w:ind w:left="1140"/>
      </w:pPr>
      <w:r>
        <w:t xml:space="preserve">2. der durch die Erbringung von Regelleistung zum Zeitpunkt der Erbringung durch den Letztverbraucher mehr verbrauchte Strom so abgerechnet wird, als ob er nicht geliefert worden wäre, und</w:t>
      </w:r>
    </w:p>
    <w:p>
      <w:pPr>
        <w:ind w:left="1140"/>
      </w:pPr>
      <w:r>
        <w:t xml:space="preserve">3. das Entgelt einen erhöhten administrativen Aufwand des Lieferanten berücksichtigt,</w:t>
      </w:r>
    </w:p>
    <w:p>
      <w:pPr>
        <w:ind w:left="780"/>
      </w:pPr>
      <w:r>
        <w:t xml:space="preserve">d) zum angemessenen Entgelt für Bilanzkreisverantwortliche, wobei sie insbesondere für den Fall, dass die zum Zeitpunkt der Erbringung von Regelleistung verursachten Bilanzkreisabweichungen dem Bilanzkreisverantwortlichen bilanziell ausgeglichen werden, festlegen kann, dass pauschale Entgelte angemessen sind; sie kann insbesondere festlegen, dass das Entgelt angemessen ist, wenn nur ein erhöhter administrativer Aufwand des Bilanzkreisverantwortlichen berücksichtigt wird,</w:t>
      </w:r>
    </w:p>
    <w:p>
      <w:pPr>
        <w:ind w:left="780"/>
      </w:pPr>
      <w:r>
        <w:t xml:space="preserve">e) zu zusätzlichen Entgelten für Lieferanten und Bilanzkreisverantwortliche für Abweichungen im Verbrauchsverhalten der Letztverbraucher nach der Regelleistungserbringung, wenn diese Abweichungen durch die Regelleistungserbringung verursacht sind; hierbei kann sie insbesondere festlegen, dass diese Entgelte null sind; resultiert aus der Festlegung zu zusätzlichen Entgelten eine unbillige Härte für den Lieferanten oder Bilanzkreisverantwortlichen, haben sie ein Sonderkündigungsrecht,</w:t>
      </w:r>
    </w:p>
    <w:p>
      <w:pPr>
        <w:ind w:left="780"/>
      </w:pPr>
      <w:r>
        <w:t xml:space="preserve">f) zu Übergangsbestimmungen.</w:t>
      </w:r>
    </w:p>
    <w:p>
      <w:r>
        <w:t xml:space="preserve">(2) Die Regulierungsbehörde soll festlegen, dass Betreiber von Übertragungsnetzen im Zusammenhang mit der Beschaffung und dem Einsatz von Regelenergie weitere Daten veröffentlichen müssen, wenn dadurch die Angebotsbedingungen für Regelenergie durch Erhöhung der Markttransparenz verbessert werden oder die höhere Transparenz geeignet ist, die Vorhaltung oder den Einsatz von Regelenergie zu vermindern.</w:t>
      </w:r>
    </w:p>
    <w:p>
      <w:r>
        <w:t xml:space="preserve">(3) Die Regulierungsbehörde kann abweichend von § 12 Abs. 1 Satz 1 im Einzelfall abweichende Grenzwerte für standardisierte Lastprofile festlegen, wenn der Betreiber von Elektrizitätsverteilernetzen nachweist, dass bei Beachtung der in § 12 Abs. 1 Satz 1 genannten Grenzwerte ein funktionierender Netzbetrieb technisch nicht zu gewährleisten ist.</w:t>
      </w:r>
    </w:p>
    <w:p>
      <w:r>
        <w:t xml:space="preserve">(4) Die Regulierungsbehörde kann Entscheidungen nach den Absätzen 1 bis 3 in ihrem Amtsblatt öffentlich bekannt machen.</w:t>
      </w:r>
    </w:p>
    <w:p>
      <w:r>
        <w:rPr>
          <w:color w:val="555555"/>
          <w:sz w:val="17"/>
        </w:rPr>
        <w:t xml:space="preserve">Zitiervorschlag: § 27 StromNZV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https://recht.nulegal.eu/gesetze/StromNZV/27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