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StromNZV — Bilanzkreisvertrag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Zwischen dem Bilanzkreisverantwortlichen und dem Betreiber von Übertragungsnetzen muss ein Vertrag über die Führung, Abwicklung und Abrechnung von Bilanzkreisen (Bilanzkreisvertrag) geschlossen werden.</w:t>
      </w:r>
    </w:p>
    <w:p>
      <w:r>
        <w:t xml:space="preserve">(2) Der Vertrag muss unter Berücksichtigung der Vorschriften des Energiewirtschaftsgesetzes und dieser Verordnung mindestens Regelungen zu folgenden Gegenständen enthalten:</w:t>
      </w:r>
    </w:p>
    <w:p>
      <w:pPr>
        <w:ind w:left="420"/>
      </w:pPr>
      <w:r>
        <w:t xml:space="preserve">1. Vertragsgegenstand;</w:t>
      </w:r>
    </w:p>
    <w:p>
      <w:pPr>
        <w:ind w:left="420"/>
      </w:pPr>
      <w:r>
        <w:t xml:space="preserve">2. Rechte, Pflichten und Leistungen des Betreibers von Übertragungsnetzen;</w:t>
      </w:r>
    </w:p>
    <w:p>
      <w:pPr>
        <w:ind w:left="420"/>
      </w:pPr>
      <w:r>
        <w:t xml:space="preserve">3. Rechte und Pflichten des Bilanzkreisverantwortlichen;</w:t>
      </w:r>
    </w:p>
    <w:p>
      <w:pPr>
        <w:ind w:left="420"/>
      </w:pPr>
      <w:r>
        <w:t xml:space="preserve">4. Datenaustausch zwischen dem Betreiber von Übertragungsnetzen und dem Bilanzkreisverantwortlichen;</w:t>
      </w:r>
    </w:p>
    <w:p>
      <w:pPr>
        <w:ind w:left="420"/>
      </w:pPr>
      <w:r>
        <w:t xml:space="preserve">5. Haftungsbestimmungen;</w:t>
      </w:r>
    </w:p>
    <w:p>
      <w:pPr>
        <w:ind w:left="420"/>
      </w:pPr>
      <w:r>
        <w:t xml:space="preserve">6. Voraussetzungen für die Erhebung einer Sicherheitsleistung in begründeten Fällen;</w:t>
      </w:r>
    </w:p>
    <w:p>
      <w:pPr>
        <w:ind w:left="420"/>
      </w:pPr>
      <w:r>
        <w:t xml:space="preserve">7. Kündigungsrechte der Vertragsparteien.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26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