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StromNZV — Begriffsbestimmungen</w:t>
      </w:r>
    </w:p>
    <w:p>
      <w:r>
        <w:rPr>
          <w:color w:val="555555"/>
          <w:sz w:val="18"/>
        </w:rPr>
        <w:t xml:space="preserve">Stromnetzzugangsverordnung</w:t>
      </w:r>
    </w:p>
    <w:p>
      <w:r>
        <w:rPr>
          <w:color w:val="555555"/>
          <w:sz w:val="18"/>
        </w:rPr>
        <w:t xml:space="preserve">Historische Fassung: Stand 16.01.2024 bis 01.01.2026. Dies ist nicht die aktuelle Fassung.</w:t>
      </w:r>
    </w:p>
    <w:p>
      <w:r>
        <w:t xml:space="preserve">Im Sinne dieser Verordnung bedeutet</w:t>
      </w:r>
    </w:p>
    <w:p>
      <w:pPr>
        <w:ind w:left="420"/>
      </w:pPr>
      <w:r>
        <w:t xml:space="preserve">1. Fahrplandie Angabe, wie viel elektrische Leistung in jeder Zeiteinheit zwischen den Bilanzkreisen ausgetauscht wird oder an einer Einspeise- oder Entnahmestelle eingespeist oder entnommen wird;</w:t>
      </w:r>
    </w:p>
    <w:p>
      <w:pPr>
        <w:ind w:left="420"/>
      </w:pPr>
      <w:r>
        <w:t xml:space="preserve">2. Jahresmehr- und JahresmindermengenArbeitsmengendifferenzen zwischen der von Lastprofilkunden eines Lieferanten tatsächlich entnommenen elektrischen Arbeit und der Prognose des Jahresverbrauchs für diese Kunden;</w:t>
      </w:r>
    </w:p>
    <w:p>
      <w:pPr>
        <w:ind w:left="420"/>
      </w:pPr>
      <w:r>
        <w:t xml:space="preserve">3. Lastgangdie Gesamtheit aller Leistungsmittelwerte, die über eine ganzzahlige Anzahl von Messperioden gemessen wird;</w:t>
      </w:r>
    </w:p>
    <w:p>
      <w:pPr>
        <w:ind w:left="420"/>
      </w:pPr>
      <w:r>
        <w:t xml:space="preserve">4. Lastprofileine Zeitreihe, die für jede Abrechnungsperiode einen Leistungsmittelwert festlegt;</w:t>
      </w:r>
    </w:p>
    <w:p>
      <w:pPr>
        <w:ind w:left="420"/>
      </w:pPr>
      <w:r>
        <w:t xml:space="preserve">5. Lieferantein Unternehmen, dessen Geschäftstätigkeit auf den Vertrieb von Elektrizität gerichtet ist;</w:t>
      </w:r>
    </w:p>
    <w:p>
      <w:pPr>
        <w:ind w:left="420"/>
      </w:pPr>
      <w:r>
        <w:t xml:space="preserve">6. (weggefallen)</w:t>
      </w:r>
    </w:p>
    <w:p>
      <w:pPr>
        <w:ind w:left="420"/>
      </w:pPr>
      <w:r>
        <w:t xml:space="preserve">7. Netznutzungsvertragder in § 20 Abs. 1a des Energiewirtschaftsgesetzes genannte Vertrag;</w:t>
      </w:r>
    </w:p>
    <w:p>
      <w:pPr>
        <w:ind w:left="420"/>
      </w:pPr>
      <w:r>
        <w:t xml:space="preserve">8. (weggefallen)</w:t>
      </w:r>
    </w:p>
    <w:p>
      <w:pPr>
        <w:ind w:left="420"/>
      </w:pPr>
      <w:r>
        <w:t xml:space="preserve">9. (weggefallen)</w:t>
      </w:r>
    </w:p>
    <w:p>
      <w:pPr>
        <w:ind w:left="420"/>
      </w:pPr>
      <w:r>
        <w:t xml:space="preserve">10. (weggefallen)</w:t>
      </w:r>
    </w:p>
    <w:p>
      <w:pPr>
        <w:ind w:left="420"/>
      </w:pPr>
      <w:r>
        <w:t xml:space="preserve">10a. (weggefallen)</w:t>
      </w:r>
    </w:p>
    <w:p>
      <w:pPr>
        <w:ind w:left="420"/>
      </w:pPr>
      <w:r>
        <w:t xml:space="preserve">11. Unterbilanzkreisein Bilanzkreis, der nicht für den Ausgleich der Abweichungen gegenüber dem Betreiber von Übertragungsnetzen verantwortlich ist;</w:t>
      </w:r>
    </w:p>
    <w:p>
      <w:pPr>
        <w:ind w:left="420"/>
      </w:pPr>
      <w:r>
        <w:t xml:space="preserve">12. (weggefallen)</w:t>
      </w:r>
    </w:p>
    <w:p>
      <w:pPr>
        <w:ind w:left="420"/>
      </w:pPr>
      <w:r>
        <w:t xml:space="preserve">13. Zählerstandsgangeine Reihe viertelstündlich ermittelter Zählerstände;</w:t>
      </w:r>
    </w:p>
    <w:p>
      <w:pPr>
        <w:ind w:left="420"/>
      </w:pPr>
      <w:r>
        <w:t xml:space="preserve">14. Zählpunktder Netzpunkt, an dem der Energiefluss zähltechnisch erfasst wird.</w:t>
      </w:r>
    </w:p>
    <w:p>
      <w:r>
        <w:rPr>
          <w:color w:val="555555"/>
          <w:sz w:val="17"/>
        </w:rPr>
        <w:t xml:space="preserve">Zitiervorschlag: § 2 StromNZV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