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StromNZV — Engpassmanagement</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Betreiber von Übertragungsnetzen haben im Rahmen des wirtschaftlich Zumutbaren das Entstehen von Engpässen in ihren Netzen und an den Kuppelstellen zu benachbarten Netzen mit Hilfe von netzbezogenen und marktbezogenen Maßnahmen zu verhindern, die auch die Zusammenarbeit der Betreiber von Übertragungsnetzen einschließen kann.</w:t>
      </w:r>
    </w:p>
    <w:p>
      <w:r>
        <w:t xml:space="preserve">(2) Lässt sich die Entstehung eines Engpasses mit Hilfe von Maßnahmen nach Absatz 1 nicht vermeiden, so sind Betreiber von Übertragungsnetzen verpflichtet, die verfügbaren Leitungskapazitäten nach marktorientierten und transparenten Verfahren diskriminierungsfrei zu bewirtschaften.</w:t>
      </w:r>
    </w:p>
    <w:p>
      <w:r>
        <w:t xml:space="preserve">(3) Die Erlöse, die Netzbetreiber aus der Durchführung der Engpassbewirtschaftung erzielen, sind unverzüglich für Maßnahmen zur Beseitigung von Engpässen zu verwenden, hierfür zurückzustellen oder entgeltmindernd in den Netzentgelten zu berücksichtigen. Die Erlöse, die Netzbetreiber aus der Durchführung der Engpassbewirtschaftung erzielen, sind von den Betreibern von Übertragungsnetzen zu dokumentieren. Die Dokumentation ist der Regulierungsbehörde vorzulegen.</w:t>
      </w:r>
    </w:p>
    <w:p>
      <w:r>
        <w:t xml:space="preserve">(4) Betreiber von Übertragungsnetzen sind verpflichtet, Engpässe in ihrem Netz unverzüglich und in geeigneter Form, zumindest aber auf ihrer Internetseite, zu veröffentlichen und den betroffenen Bilanzkreisverantwortlichen soweit möglich unverzüglich elektronisch mitzuteilen. Die Veröffentlichung und Mitteilung müssen enthalten:</w:t>
      </w:r>
    </w:p>
    <w:p>
      <w:pPr>
        <w:ind w:left="420"/>
      </w:pPr>
      <w:r>
        <w:t xml:space="preserve">1. die zur Verfügung stehende Gesamtkapazität,</w:t>
      </w:r>
    </w:p>
    <w:p>
      <w:pPr>
        <w:ind w:left="420"/>
      </w:pPr>
      <w:r>
        <w:t xml:space="preserve">2. die Übertragungsrichtung, in der der Engpass auftritt, und</w:t>
      </w:r>
    </w:p>
    <w:p>
      <w:pPr>
        <w:ind w:left="420"/>
      </w:pPr>
      <w:r>
        <w:t xml:space="preserve">3. die prognostizierte Dauer.</w:t>
      </w:r>
    </w:p>
    <w:p>
      <w:r>
        <w:t xml:space="preserve">(5) Die Absätze 1 bis 4 gelten auch für Betreiber von Elektrizitätsverteilernetzen.</w:t>
      </w:r>
    </w:p>
    <w:p>
      <w:r>
        <w:rPr>
          <w:color w:val="555555"/>
          <w:sz w:val="17"/>
        </w:rPr>
        <w:t xml:space="preserve">Zitiervorschlag: § 15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