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StromNZV — Lieferantenwechsel</w:t>
      </w:r>
    </w:p>
    <w:p>
      <w:r>
        <w:rPr>
          <w:color w:val="555555"/>
          <w:sz w:val="18"/>
        </w:rPr>
        <w:t xml:space="preserve">Stromnetzzugangsverordnung</w:t>
      </w:r>
    </w:p>
    <w:p>
      <w:r>
        <w:rPr>
          <w:color w:val="555555"/>
          <w:sz w:val="18"/>
        </w:rPr>
        <w:t xml:space="preserve">Historische Fassung: Stand 10.06.2019 bis 01.01.2026. Dies ist nicht die aktuelle Fassung.</w:t>
      </w:r>
    </w:p>
    <w:p>
      <w:r>
        <w:t xml:space="preserve">(1) Die Netzbetreiber sind verpflichtet, für die Durchführung des Lieferantenwechsels für Letztverbraucher sowie für die Zuordnung von Einspeiseanlagen zu Händlern und Bilanzkreisen bundesweit einheitliche, massengeschäftstaugliche Verfahren anzuwenden. Für den elektronischen Datenaustausch mit den Netznutzern ist ein einheitliches Datenformat zu verwenden. Die Netzbetreiber sind verpflichtet, die elektronische Übermittlung und Bearbeitung von Kundendaten in massengeschäftstauglicher Weise zu organisieren, sodass die Kundendaten in vollständig automatisierter Weise übermittelt und bearbeitet werden können. Die Verbände der Netznutzer sind an der Entwicklung der Verfahren und Formate für den Datenaustausch angemessen zu beteiligen.</w:t>
      </w:r>
    </w:p>
    <w:p>
      <w:r>
        <w:t xml:space="preserve">(2) Der bisherige Lieferant ist verpflichtet, unverzüglich</w:t>
      </w:r>
    </w:p>
    <w:p>
      <w:pPr>
        <w:ind w:left="420"/>
      </w:pPr>
      <w:r>
        <w:t xml:space="preserve">1. dem Netzbetreiber die Abmeldung seines Kunden mitzuteilen und</w:t>
      </w:r>
    </w:p>
    <w:p>
      <w:pPr>
        <w:ind w:left="420"/>
      </w:pPr>
      <w:r>
        <w:t xml:space="preserve">2. dem neuen Lieferanten in einem einheitlichen Format elektronisch eine Kündigungsbestätigung zu übersenden, soweit der neue Lieferant die Kündigung in Vertretung für den Kunden ausgesprochen hat.</w:t>
      </w:r>
    </w:p>
    <w:p>
      <w:r>
        <w:t xml:space="preserve">(3) Eine Entnahmestelle ist anhand von nicht mehr als drei mitgeteilten Daten zu identifizieren. Es soll eine der folgenden Datenkombinationen mitgeteilt werden:</w:t>
      </w:r>
    </w:p>
    <w:p>
      <w:pPr>
        <w:ind w:left="420"/>
      </w:pPr>
      <w:r>
        <w:t xml:space="preserve">1. Zählpunkt oder Zählpunkt-Aggregation und Name oder Firma des Kunden sowie Straße, Postleitzahl und Ort der Entnahmestelle,</w:t>
      </w:r>
    </w:p>
    <w:p>
      <w:pPr>
        <w:ind w:left="420"/>
      </w:pPr>
      <w:r>
        <w:t xml:space="preserve">2. Zählernummer und Name oder Firma des Kunden sowie Straße, Postleitzahl und Ort der Entnahmestelle oder</w:t>
      </w:r>
    </w:p>
    <w:p>
      <w:pPr>
        <w:ind w:left="420"/>
      </w:pPr>
      <w:r>
        <w:t xml:space="preserve">3. Name des bisherigen Lieferanten, Kundennummer des bisherigen Lieferanten und Name oder Firma des Kunden sowie Straße, Postleitzahl und Ort der Entnahmestelle.</w:t>
      </w:r>
    </w:p>
    <w:p>
      <w:r>
        <w:t xml:space="preserve">Wenn der neue Lieferant keine der in Satz 2 aufgeführten Datenkombinationen vollständig dem Betreiber von Elektrizitätsversorgungsnetzen mitteilt, darf der Betreiber von Elektrizitätsversorgungsnetzen die Meldung nur zurückweisen, wenn die Entnahmestelle nicht eindeutig identifizierbar ist. In diesem Fall ist die Meldung für diese Entnahmestelle unwirksam. Änderungen wesentlicher Kundendaten sind wechselseitig unverzüglich mitzuteilen. § 27 Absatz 1 Nummer 18 bleibt unberührt.</w:t>
      </w:r>
    </w:p>
    <w:p>
      <w:r>
        <w:t xml:space="preserve">(4) Betreiber von Elektrizitätsversorgungsnetzen dürfen den Lieferantenwechsel nicht von anderen Bedingungen als den in den Absätzen 1 bis 3 genannten abhängig machen. § 27 Abs. 1 Nr. 17 bleibt unberührt.</w:t>
      </w:r>
    </w:p>
    <w:p>
      <w:r>
        <w:rPr>
          <w:color w:val="555555"/>
          <w:sz w:val="17"/>
        </w:rPr>
        <w:t xml:space="preserve">Zitiervorschlag: § 14 StromNZV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https://recht.nulegal.eu/gesetze/StromNZV/14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