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11a StromNZV — Bilanzkreis für den energetischen und bilanziellen Ausgleich von Systemsicherheitsmaßnahmen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01.10.2021 bis 01.01.2026. Dies ist nicht die aktuelle Fassung.</w:t>
      </w:r>
    </w:p>
    <w:p>
      <w:r>
        <w:t xml:space="preserve">(1) Betreiber von Elektrizitätsversorgungsnetzen sind verpflichtet, einen gesonderten Bilanzkreis für den energetischen und bilanziellen Ausgleich von Maßnahmen nach § 13 Absatz 1 Satz 2 des Energiewirtschaftsgesetzes und den bilanziellen Ersatz nach § 14 Absatz 1c des Energiewirtschaftsgesetzes zu führen.</w:t>
      </w:r>
    </w:p>
    <w:p>
      <w:r>
        <w:t xml:space="preserve">(2) Betreiber von Elektrizitätsversorgungsnetzen sind verpflichtet, den energetischen und bilanziellen Ausgleich von Maßnahmen nach § 13 Absatz 1 Satz 2 des Energiewirtschaftsgesetzes und den bilanziellen Ersatz nach § 14 Absatz 1c des Energiewirtschaftsgesetzes ausschließlich über den Bilanzkreis nach Absatz 1 durchzuführen und den Bilanzkreis ausschließlich zu diesem Zweck einzusetzen.</w:t>
      </w:r>
    </w:p>
    <w:p>
      <w:r>
        <w:t xml:space="preserve">(3) Soweit der Betreiber eines Elektrizitätsversorgungsnetzes den energetischen Ausgleich nach Absatz 2 mit Hilfe von Handelsgeschäften durchführt, sind diese an einer Strombörse eines nominierten Strommarktbetreibers gemäß Artikel 4 Nummer 1 der Verordnung (EU) 2015/1222 der Kommission vom 24. Juli 2015 zur Festlegung einer Leitlinie für die Kapazitätsvergabe und das Engpassmanagement (ABl. L 197 vom 25.7.2015, S. 24) zu tätigen.</w:t>
      </w:r>
    </w:p>
    <w:p>
      <w:r>
        <w:rPr>
          <w:color w:val="555555"/>
          <w:sz w:val="17"/>
        </w:rPr>
        <w:t xml:space="preserve">Zitiervorschlag: § 11a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https://recht.nulegal.eu/gesetze/StromNZV/11a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